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D5" w:rsidRPr="005D43D5" w:rsidRDefault="005D43D5" w:rsidP="005D43D5">
      <w:pPr>
        <w:spacing w:after="380"/>
        <w:jc w:val="center"/>
        <w:rPr>
          <w:rFonts w:ascii="Arial" w:hAnsi="Arial" w:cs="Arial"/>
          <w:color w:val="FF0000"/>
          <w:sz w:val="34"/>
          <w:szCs w:val="34"/>
          <w:lang w:val="en-US"/>
        </w:rPr>
      </w:pPr>
      <w:r w:rsidRPr="002F3A2F">
        <w:rPr>
          <w:rFonts w:ascii="Arial" w:hAnsi="Arial" w:cs="Arial"/>
          <w:color w:val="FF0000"/>
          <w:sz w:val="34"/>
          <w:szCs w:val="34"/>
          <w:lang w:val="en-US"/>
        </w:rPr>
        <w:t>1.</w:t>
      </w:r>
      <w:r w:rsidRPr="00A72F1A">
        <w:rPr>
          <w:rFonts w:ascii="Arial" w:hAnsi="Arial" w:cs="Arial"/>
          <w:color w:val="FF0000"/>
          <w:sz w:val="34"/>
          <w:szCs w:val="34"/>
          <w:lang w:val="en-US"/>
        </w:rPr>
        <w:t>Biosphere</w:t>
      </w:r>
    </w:p>
    <w:p w:rsidR="005D43D5" w:rsidRDefault="005D43D5" w:rsidP="005D43D5">
      <w:pPr>
        <w:spacing w:after="240" w:line="312" w:lineRule="auto"/>
        <w:ind w:firstLine="709"/>
        <w:rPr>
          <w:rFonts w:ascii="Times New Roman" w:hAnsi="Times New Roman" w:cs="Times New Roman"/>
          <w:lang w:val="en-US"/>
        </w:rPr>
      </w:pPr>
      <w:r w:rsidRPr="00A72F1A">
        <w:rPr>
          <w:rFonts w:ascii="Times New Roman" w:hAnsi="Times New Roman" w:cs="Times New Roman"/>
          <w:lang w:val="en-US"/>
        </w:rPr>
        <w:t xml:space="preserve">The biosphere (from Greek </w:t>
      </w:r>
      <w:r w:rsidRPr="00A72F1A">
        <w:rPr>
          <w:rFonts w:ascii="Times New Roman" w:hAnsi="Times New Roman" w:cs="Times New Roman"/>
        </w:rPr>
        <w:t>βίος</w:t>
      </w:r>
      <w:r w:rsidRPr="00A72F1A">
        <w:rPr>
          <w:rFonts w:ascii="Times New Roman" w:hAnsi="Times New Roman" w:cs="Times New Roman"/>
          <w:lang w:val="en-US"/>
        </w:rPr>
        <w:t xml:space="preserve">bíos "life" and </w:t>
      </w:r>
      <w:r w:rsidRPr="00A72F1A">
        <w:rPr>
          <w:rFonts w:ascii="Times New Roman" w:hAnsi="Times New Roman" w:cs="Times New Roman"/>
        </w:rPr>
        <w:t>σφαῖρα</w:t>
      </w:r>
      <w:r w:rsidRPr="00A72F1A">
        <w:rPr>
          <w:rFonts w:ascii="Times New Roman" w:hAnsi="Times New Roman" w:cs="Times New Roman"/>
          <w:lang w:val="en-US"/>
        </w:rPr>
        <w:t xml:space="preserve">sphaira "sphere") also known as the ecosphere (from Greek </w:t>
      </w:r>
      <w:r w:rsidRPr="00A72F1A">
        <w:rPr>
          <w:rFonts w:ascii="Times New Roman" w:hAnsi="Times New Roman" w:cs="Times New Roman"/>
        </w:rPr>
        <w:t>οἶκος</w:t>
      </w:r>
      <w:r w:rsidRPr="00A72F1A">
        <w:rPr>
          <w:rFonts w:ascii="Times New Roman" w:hAnsi="Times New Roman" w:cs="Times New Roman"/>
          <w:lang w:val="en-US"/>
        </w:rPr>
        <w:t xml:space="preserve">oîkos "environment" and </w:t>
      </w:r>
      <w:r w:rsidRPr="00A72F1A">
        <w:rPr>
          <w:rFonts w:ascii="Times New Roman" w:hAnsi="Times New Roman" w:cs="Times New Roman"/>
        </w:rPr>
        <w:t>σφαῖρα</w:t>
      </w:r>
      <w:r w:rsidRPr="00A72F1A">
        <w:rPr>
          <w:rFonts w:ascii="Times New Roman" w:hAnsi="Times New Roman" w:cs="Times New Roman"/>
          <w:lang w:val="en-US"/>
        </w:rPr>
        <w:t>), is the worldwide sum of all ecosystems. It can also be termed the zone of life on Earth, a closed system (apart from solar and cosmic radiation and heat from the interior of the Earth), and largely self-regulating. By the most general biophysiological definition, the biosphere is the global ecological system integrating all living beings and their relationships, including their interaction with the elements of the lithosphere, geosphere, hydrosphere, and atmosphere. The biosphere is postulated to have evolved, beginning with a process of biopoiesis (life created naturally from non-living matter, such as simple organic compounds) or biogenesis (life created from living matter), at least some 3.5 billion years ago.</w:t>
      </w:r>
    </w:p>
    <w:p w:rsidR="005D43D5" w:rsidRPr="00A72F1A" w:rsidRDefault="005D43D5" w:rsidP="005D43D5">
      <w:pPr>
        <w:spacing w:line="312" w:lineRule="auto"/>
        <w:ind w:firstLine="709"/>
        <w:rPr>
          <w:rFonts w:ascii="Times New Roman" w:hAnsi="Times New Roman" w:cs="Times New Roman"/>
          <w:lang w:val="en-US"/>
        </w:rPr>
      </w:pPr>
      <w:r w:rsidRPr="00A72F1A">
        <w:rPr>
          <w:rFonts w:ascii="Times New Roman" w:hAnsi="Times New Roman" w:cs="Times New Roman"/>
          <w:lang w:val="en-US"/>
        </w:rPr>
        <w:t>In a general sense, biospheres are any closed, self-regulating systems containing ecosystems. This includes artificial biospheres such as Biosphere 2 and BIOS-3, and potentially ones on other planets or moons.</w:t>
      </w:r>
    </w:p>
    <w:p w:rsidR="005D43D5" w:rsidRPr="00B17088" w:rsidRDefault="005D43D5" w:rsidP="005D43D5">
      <w:pPr>
        <w:rPr>
          <w:rFonts w:ascii="Arial" w:hAnsi="Arial" w:cs="Arial"/>
          <w:b/>
          <w:u w:val="single"/>
          <w:lang w:val="en-US"/>
        </w:rPr>
      </w:pPr>
      <w:r w:rsidRPr="00B17088">
        <w:rPr>
          <w:rFonts w:ascii="Arial" w:hAnsi="Arial" w:cs="Arial"/>
          <w:b/>
          <w:u w:val="single"/>
          <w:lang w:val="en-US"/>
        </w:rPr>
        <w:t>Origin and use of the term</w:t>
      </w:r>
    </w:p>
    <w:p w:rsidR="005D43D5" w:rsidRPr="00B17088" w:rsidRDefault="005D43D5" w:rsidP="005D43D5">
      <w:pPr>
        <w:spacing w:after="240" w:line="312" w:lineRule="auto"/>
        <w:ind w:firstLine="709"/>
        <w:rPr>
          <w:rFonts w:ascii="Times New Roman" w:hAnsi="Times New Roman" w:cs="Times New Roman"/>
          <w:lang w:val="en-US"/>
        </w:rPr>
      </w:pPr>
      <w:r w:rsidRPr="00B17088">
        <w:rPr>
          <w:rFonts w:ascii="Times New Roman" w:hAnsi="Times New Roman" w:cs="Times New Roman"/>
          <w:lang w:val="en-US"/>
        </w:rPr>
        <w:t>The term "biosphere" was coined by geologist Eduard Suess in 1875, which he defined as the place on Earth's surface where life dwells.</w:t>
      </w:r>
    </w:p>
    <w:p w:rsidR="005D43D5" w:rsidRPr="00B17088" w:rsidRDefault="005D43D5" w:rsidP="005D43D5">
      <w:pPr>
        <w:spacing w:line="312" w:lineRule="auto"/>
        <w:ind w:firstLine="709"/>
        <w:rPr>
          <w:rFonts w:ascii="Times New Roman" w:hAnsi="Times New Roman" w:cs="Times New Roman"/>
          <w:lang w:val="en-US"/>
        </w:rPr>
      </w:pPr>
      <w:r w:rsidRPr="00B17088">
        <w:rPr>
          <w:rFonts w:ascii="Times New Roman" w:hAnsi="Times New Roman" w:cs="Times New Roman"/>
          <w:lang w:val="en-US"/>
        </w:rPr>
        <w:t xml:space="preserve">While the concept has a geological origin, it is an indication of the effect of both Charles Darwin and Matthew F. Maury on the Earth sciences. The biosphere's ecological context comes from the 1920s (see Vladimir I. Vernadsky), preceding the 1935 introduction of the term "ecosystem" by Sir Arthur Tansley (see ecology history). Vernadsky defined ecology as the science of the biosphere. It is an interdisciplinary concept for integrating astronomy, geophysics, meteorology, biogeography, evolution, geology, geochemistry, hydrology and, </w:t>
      </w:r>
      <w:r>
        <w:rPr>
          <w:rFonts w:ascii="Times New Roman" w:hAnsi="Times New Roman" w:cs="Times New Roman"/>
          <w:lang w:val="en-US"/>
        </w:rPr>
        <w:t>g</w:t>
      </w:r>
      <w:r w:rsidRPr="00B17088">
        <w:rPr>
          <w:rFonts w:ascii="Times New Roman" w:hAnsi="Times New Roman" w:cs="Times New Roman"/>
          <w:lang w:val="en-US"/>
        </w:rPr>
        <w:t>enerally speaking, all life and Earth sciences.</w:t>
      </w:r>
    </w:p>
    <w:p w:rsidR="005D43D5" w:rsidRPr="00B17088" w:rsidRDefault="005D43D5" w:rsidP="005D43D5">
      <w:pPr>
        <w:rPr>
          <w:rFonts w:ascii="Arial" w:hAnsi="Arial" w:cs="Arial"/>
          <w:b/>
          <w:u w:val="single"/>
          <w:lang w:val="en-US"/>
        </w:rPr>
      </w:pPr>
      <w:r w:rsidRPr="00B17088">
        <w:rPr>
          <w:rFonts w:ascii="Arial" w:hAnsi="Arial" w:cs="Arial"/>
          <w:b/>
          <w:u w:val="single"/>
          <w:lang w:val="en-US"/>
        </w:rPr>
        <w:t>Narrow definition</w:t>
      </w:r>
    </w:p>
    <w:p w:rsidR="005D43D5" w:rsidRPr="007E60F4" w:rsidRDefault="005D43D5" w:rsidP="005D43D5">
      <w:pPr>
        <w:spacing w:after="240" w:line="312" w:lineRule="auto"/>
        <w:ind w:firstLine="709"/>
        <w:rPr>
          <w:rFonts w:ascii="Times New Roman" w:hAnsi="Times New Roman" w:cs="Times New Roman"/>
          <w:lang w:val="en-US"/>
        </w:rPr>
      </w:pPr>
      <w:r w:rsidRPr="007E60F4">
        <w:rPr>
          <w:rFonts w:ascii="Times New Roman" w:hAnsi="Times New Roman" w:cs="Times New Roman"/>
          <w:lang w:val="en-US"/>
        </w:rPr>
        <w:t>Geochemists define the biosphere as being the total sum of living organisms (the "biomass" or "biota" as referred to by biologists and ecologists). In this sense, the biosphere is but one of four separate components of the geochemical model, the other three being geosphere, hydrosphere, and atmosphere. When these four component spheres are combined into one system, it is known as the Ecosphere. This term was coined during the 1960s and encompasses both biological and physical components of the planet.</w:t>
      </w:r>
    </w:p>
    <w:p w:rsidR="005D43D5" w:rsidRPr="002F3A2F" w:rsidRDefault="005D43D5" w:rsidP="005D43D5">
      <w:pPr>
        <w:spacing w:line="312" w:lineRule="auto"/>
        <w:ind w:firstLine="709"/>
        <w:rPr>
          <w:rFonts w:ascii="Times New Roman" w:hAnsi="Times New Roman" w:cs="Times New Roman"/>
          <w:lang w:val="en-US"/>
        </w:rPr>
      </w:pPr>
      <w:r w:rsidRPr="007E60F4">
        <w:rPr>
          <w:rFonts w:ascii="Times New Roman" w:hAnsi="Times New Roman" w:cs="Times New Roman"/>
          <w:lang w:val="en-US"/>
        </w:rPr>
        <w:t>The Second International Conference on Closed Life Systems defined biospherics as the science and technology of analogs and models of Earth's biosphere; i.e., artificial Earth-like biospheres. Others may include the creation of artificial non-Earth biospheres—for example, human-centered biospheres or a native Martian biosphere—as part of the topic of biospherics.</w:t>
      </w:r>
    </w:p>
    <w:p w:rsidR="005D43D5" w:rsidRPr="007E60F4" w:rsidRDefault="005D43D5" w:rsidP="005D43D5">
      <w:pPr>
        <w:rPr>
          <w:rFonts w:ascii="Arial" w:hAnsi="Arial" w:cs="Arial"/>
          <w:b/>
          <w:u w:val="single"/>
          <w:lang w:val="en-US"/>
        </w:rPr>
      </w:pPr>
      <w:r w:rsidRPr="007E60F4">
        <w:rPr>
          <w:rFonts w:ascii="Arial" w:hAnsi="Arial" w:cs="Arial"/>
          <w:b/>
          <w:u w:val="single"/>
          <w:lang w:val="en-US"/>
        </w:rPr>
        <w:t>Earth's biosphere</w:t>
      </w:r>
    </w:p>
    <w:p w:rsidR="005D43D5" w:rsidRPr="00D07F03" w:rsidRDefault="005D43D5" w:rsidP="00D07F03">
      <w:pPr>
        <w:pStyle w:val="Subtitle"/>
        <w:numPr>
          <w:ilvl w:val="0"/>
          <w:numId w:val="2"/>
        </w:numPr>
        <w:rPr>
          <w:rFonts w:ascii="Arial" w:hAnsi="Arial" w:cs="Arial"/>
          <w:i/>
          <w:color w:val="auto"/>
          <w:u w:val="single"/>
          <w:lang w:val="en-US"/>
        </w:rPr>
      </w:pPr>
      <w:r w:rsidRPr="00D07F03">
        <w:rPr>
          <w:rFonts w:ascii="Arial" w:hAnsi="Arial" w:cs="Arial"/>
          <w:i/>
          <w:color w:val="auto"/>
          <w:u w:val="single"/>
          <w:lang w:val="en-US"/>
        </w:rPr>
        <w:t>Age</w:t>
      </w:r>
    </w:p>
    <w:p w:rsidR="005D43D5" w:rsidRPr="00AE1283" w:rsidRDefault="005D43D5" w:rsidP="005D43D5">
      <w:pPr>
        <w:spacing w:line="312" w:lineRule="auto"/>
        <w:ind w:firstLine="709"/>
        <w:rPr>
          <w:rFonts w:ascii="Times New Roman" w:hAnsi="Times New Roman" w:cs="Times New Roman"/>
          <w:lang w:val="en-US"/>
        </w:rPr>
      </w:pPr>
      <w:r w:rsidRPr="00AE1283">
        <w:rPr>
          <w:rFonts w:ascii="Times New Roman" w:hAnsi="Times New Roman" w:cs="Times New Roman"/>
          <w:lang w:val="en-US"/>
        </w:rPr>
        <w:lastRenderedPageBreak/>
        <w:t>The earliest evidence for life on Earth includes biogenic graphite found in 3.7 billion-year-old metasedimentary rocks from Western Greenland and microbial mat fossils found in 3.48 billion-year-old sandstone from Western Australia. More recently, in 2015, "remains of biotic life" were found in 4.1 billion-year-old rocks in Western Australia. In 2017, putative fossilized microorganisms (or microfossils) were announced to have been discovered in hydrothermal vent precipitates in the Nuvvuagittuq Belt of Quebec, Canada that were as old as 4.28 billion years, the oldest record of life on earth, suggesting "an almost instantaneous emergence of life" after ocean formation 4.4 billion years ago, and not long after the formation of the Earth 4.54 billion years ago. According to biologist Stephen Blair Hedges, "If life arose relatively quickly on Earth ... then it could be common in the universe."</w:t>
      </w:r>
    </w:p>
    <w:p w:rsidR="005D43D5" w:rsidRPr="0094360D" w:rsidRDefault="005D43D5" w:rsidP="005D43D5">
      <w:pPr>
        <w:pStyle w:val="ListParagraph"/>
        <w:numPr>
          <w:ilvl w:val="0"/>
          <w:numId w:val="1"/>
        </w:numPr>
        <w:rPr>
          <w:rFonts w:ascii="Arial" w:hAnsi="Arial" w:cs="Arial"/>
          <w:i/>
          <w:lang w:val="en-US"/>
        </w:rPr>
      </w:pPr>
      <w:r w:rsidRPr="0094360D">
        <w:rPr>
          <w:rFonts w:ascii="Arial" w:hAnsi="Arial" w:cs="Arial"/>
          <w:i/>
          <w:u w:val="single"/>
          <w:lang w:val="en-US"/>
        </w:rPr>
        <w:t>Extent</w:t>
      </w:r>
    </w:p>
    <w:p w:rsidR="005D43D5" w:rsidRPr="00AE1283" w:rsidRDefault="005D43D5" w:rsidP="005D43D5">
      <w:pPr>
        <w:spacing w:after="240" w:line="312" w:lineRule="auto"/>
        <w:ind w:firstLine="709"/>
        <w:rPr>
          <w:rFonts w:ascii="Times New Roman" w:hAnsi="Times New Roman" w:cs="Times New Roman"/>
          <w:lang w:val="en-US"/>
        </w:rPr>
      </w:pPr>
      <w:r w:rsidRPr="00AE1283">
        <w:rPr>
          <w:rFonts w:ascii="Times New Roman" w:hAnsi="Times New Roman" w:cs="Times New Roman"/>
          <w:lang w:val="en-US"/>
        </w:rPr>
        <w:t>Every part of the planet, from the polar ice caps to the equator, features life of some kind. Recent advances in microbiology have demonstrated that microbes live deep beneath the Earth's terrestrial surface, and that the total mass of microbial life in so-called "uninhabitable zones" may, in biomass, exceed all animal and plant life on the surface. The actual thickness of the biosphere on earth is difficult to measure. Birds typically fly at altitudes as high as 1,800 m (5,900 ft; 1.1 mi) and fish live as much as 8,372 m (27,467 ft; 5.202 mi) underwater in the Puerto Rico Trench.</w:t>
      </w:r>
    </w:p>
    <w:p w:rsidR="005D43D5" w:rsidRPr="00AE1283" w:rsidRDefault="005D43D5" w:rsidP="005D43D5">
      <w:pPr>
        <w:spacing w:after="240" w:line="312" w:lineRule="auto"/>
        <w:ind w:firstLine="709"/>
        <w:rPr>
          <w:rFonts w:ascii="Times New Roman" w:hAnsi="Times New Roman" w:cs="Times New Roman"/>
          <w:lang w:val="en-US"/>
        </w:rPr>
      </w:pPr>
      <w:r w:rsidRPr="00AE1283">
        <w:rPr>
          <w:rFonts w:ascii="Times New Roman" w:hAnsi="Times New Roman" w:cs="Times New Roman"/>
          <w:lang w:val="en-US"/>
        </w:rPr>
        <w:t>There are more extreme examples for life on the planet: Rüppell's vulture has been found at altitudes of 11,300 m (37,100 ft; 7.0 mi); bar-headed geese migrate at altitudes of at least 8,300 m (27,200 ft; 5.2 mi); yaks live at elevations as high as 5,400 m (17,700 ft; 3.4 mi) above sea level; mountain goats live up to 3,050 m (10,010 ft; 1.90 mi). Herbivorous animals at these elevations depend on lichens, grasses, and herbs.</w:t>
      </w:r>
    </w:p>
    <w:p w:rsidR="005D43D5" w:rsidRPr="00AE1283" w:rsidRDefault="005D43D5" w:rsidP="005D43D5">
      <w:pPr>
        <w:spacing w:after="240" w:line="312" w:lineRule="auto"/>
        <w:ind w:firstLine="709"/>
        <w:rPr>
          <w:rFonts w:ascii="Times New Roman" w:hAnsi="Times New Roman" w:cs="Times New Roman"/>
          <w:lang w:val="en-US"/>
        </w:rPr>
      </w:pPr>
      <w:r w:rsidRPr="00AE1283">
        <w:rPr>
          <w:rFonts w:ascii="Times New Roman" w:hAnsi="Times New Roman" w:cs="Times New Roman"/>
          <w:lang w:val="en-US"/>
        </w:rPr>
        <w:t xml:space="preserve">Life forms live in every part of the Earth's biosphere, including soil, hot springs, inside rocks at least 19 km (12 mi) deep underground, the deepest parts of the ocean, and at least 64 km (40 mi) high in the atmosphere. Microorganisms, under certain test conditions, have been observed to survive the vacuum of outer space. The total amount of soil and subsurface bacterial carbon is estimated as 5 × 1017 g, or the "weight of the United Kingdom".The mass of prokaryote microorganisms—which includes bacteria and archaea, but not the nucleated eukaryote microorganisms—may be as much as 0.8 trillion tons of carbon (of the total biosphere mass, estimated at between 1 and 4 trillion tons).[22] Barophilic marine microbes have been found at more than a depth of 10,000 m (33,000 ft; 6.2 mi) in the Mariana Trench, the deepest spot in the Earth's oceans.[23] In fact, single-celled life forms have been found in the deepest part of the Mariana Trench, by the Challenger Deep, at depths of 11,034 m (36,201 ft; 6.856 mi).[24][25][26] Other researchers reported related studies that microorganisms thrive inside rocks up to 580 m (1,900 ft; 0.36 mi) below the sea floor under 2,590 m (8,500 ft; 1.61 mi) of ocean off the coast of the northwestern United States, as well as 2,400 m (7,900 ft; 1.5 mi) beneath the seabed off Japan. Culturable thermophilic microbes have been extracted from cores drilled more than 5,000 m (16,000 ft; 3.1 mi) into the Earth's crust in Sweden, from rocks between 65–75 °C (149–167 °F). Temperature increases with increasing depth into the Earth's crust. The rate at which the temperature increases depends on many factors, including type of crust (continental vs. oceanic), rock type, geographic location, etc. The greatest known temperature at which microbial life can exist is 122 </w:t>
      </w:r>
      <w:r w:rsidRPr="00AE1283">
        <w:rPr>
          <w:rFonts w:ascii="Times New Roman" w:hAnsi="Times New Roman" w:cs="Times New Roman"/>
          <w:lang w:val="en-US"/>
        </w:rPr>
        <w:lastRenderedPageBreak/>
        <w:t>°C (252 °F) (Methanopyruskandleri Strain 116), and it is likely that the limit of life in the "deep biosphere" is defined by temperature rather than absolute depth.[citation needed] On 20 August 2014, scientists confirmed the existence of microorganisms living 800 m (2,600 ft; 0.50 mi) below the ice of Antarctica</w:t>
      </w:r>
      <w:r>
        <w:rPr>
          <w:rFonts w:ascii="Times New Roman" w:hAnsi="Times New Roman" w:cs="Times New Roman"/>
          <w:lang w:val="en-US"/>
        </w:rPr>
        <w:t xml:space="preserve">. </w:t>
      </w:r>
      <w:r w:rsidRPr="00AE1283">
        <w:rPr>
          <w:rFonts w:ascii="Times New Roman" w:hAnsi="Times New Roman" w:cs="Times New Roman"/>
          <w:lang w:val="en-US"/>
        </w:rPr>
        <w:t>According to one researcher, "You can find microbes everywhere — they're extremely adaptable to conditions and survive wherever they are."</w:t>
      </w:r>
    </w:p>
    <w:p w:rsidR="005D43D5" w:rsidRPr="00AE1283" w:rsidRDefault="005D43D5" w:rsidP="005D43D5">
      <w:pPr>
        <w:spacing w:line="312" w:lineRule="auto"/>
        <w:ind w:firstLine="709"/>
        <w:rPr>
          <w:rFonts w:ascii="Times New Roman" w:hAnsi="Times New Roman" w:cs="Times New Roman"/>
          <w:lang w:val="en-US"/>
        </w:rPr>
      </w:pPr>
      <w:r w:rsidRPr="00AE1283">
        <w:rPr>
          <w:rFonts w:ascii="Times New Roman" w:hAnsi="Times New Roman" w:cs="Times New Roman"/>
          <w:lang w:val="en-US"/>
        </w:rPr>
        <w:t>Our biosphere is divided into a number of biomes, inhabited by fairly similar flora and fauna. On land, biomes are separated primarily by latitude. Terrestrial biomes lying within the Arctic and Antarctic Circles are relatively barren of plant and animal life, while most of the more populous biomes lie near the equator.</w:t>
      </w:r>
    </w:p>
    <w:p w:rsidR="005D43D5" w:rsidRPr="0094360D" w:rsidRDefault="005D43D5" w:rsidP="005D43D5">
      <w:pPr>
        <w:pStyle w:val="ListParagraph"/>
        <w:numPr>
          <w:ilvl w:val="0"/>
          <w:numId w:val="1"/>
        </w:numPr>
        <w:rPr>
          <w:rFonts w:ascii="Arial" w:hAnsi="Arial" w:cs="Arial"/>
          <w:i/>
          <w:u w:val="single"/>
          <w:lang w:val="en-US"/>
        </w:rPr>
      </w:pPr>
      <w:r w:rsidRPr="0094360D">
        <w:rPr>
          <w:rFonts w:ascii="Arial" w:hAnsi="Arial" w:cs="Arial"/>
          <w:i/>
          <w:u w:val="single"/>
          <w:lang w:val="en-US"/>
        </w:rPr>
        <w:t>Annual variation</w:t>
      </w:r>
    </w:p>
    <w:p w:rsidR="005D43D5" w:rsidRDefault="005D43D5" w:rsidP="005D43D5">
      <w:pPr>
        <w:spacing w:line="312" w:lineRule="auto"/>
        <w:ind w:firstLine="709"/>
        <w:rPr>
          <w:rFonts w:ascii="Times New Roman" w:hAnsi="Times New Roman" w:cs="Times New Roman"/>
          <w:lang w:val="en-US"/>
        </w:rPr>
        <w:sectPr w:rsidR="005D43D5" w:rsidSect="00132FE2">
          <w:footerReference w:type="even" r:id="rId7"/>
          <w:footerReference w:type="default" r:id="rId8"/>
          <w:footerReference w:type="first" r:id="rId9"/>
          <w:pgSz w:w="11906" w:h="16838"/>
          <w:pgMar w:top="1418" w:right="1418" w:bottom="1418" w:left="1418" w:header="709" w:footer="709" w:gutter="0"/>
          <w:cols w:space="708"/>
          <w:titlePg/>
          <w:docGrid w:linePitch="360"/>
        </w:sectPr>
      </w:pPr>
      <w:r w:rsidRPr="00AE1283">
        <w:rPr>
          <w:rFonts w:ascii="Times New Roman" w:hAnsi="Times New Roman" w:cs="Times New Roman"/>
          <w:lang w:val="en-US"/>
        </w:rPr>
        <w:t>On land, vegetation appears on a scale from brown (low vegetation) to dark green (lots of vegetation); at the ocean surface, phytoplankton are indicated on a scale from purple (low) to yellow (high). This visualization was created with data from satellites including SeaWiFS, and instruments including the NASA/NOAA Visible Infrared Imaging Radiometer Suite and the Moderate Resolution Imaging Spectroradiometer</w:t>
      </w:r>
      <w:r w:rsidRPr="005D43D5">
        <w:rPr>
          <w:rFonts w:ascii="Times New Roman" w:hAnsi="Times New Roman" w:cs="Times New Roman"/>
          <w:lang w:val="en-US"/>
        </w:rPr>
        <w:t>.</w:t>
      </w:r>
    </w:p>
    <w:p w:rsidR="005D43D5" w:rsidRPr="00801AD1" w:rsidRDefault="005D43D5" w:rsidP="005D43D5">
      <w:pPr>
        <w:spacing w:after="380" w:line="312" w:lineRule="auto"/>
        <w:jc w:val="center"/>
        <w:rPr>
          <w:rFonts w:ascii="Arial" w:hAnsi="Arial" w:cs="Arial"/>
          <w:color w:val="FF0000"/>
          <w:sz w:val="34"/>
          <w:szCs w:val="34"/>
          <w:lang w:val="en-US"/>
        </w:rPr>
      </w:pPr>
      <w:r w:rsidRPr="00801AD1">
        <w:rPr>
          <w:rFonts w:ascii="Arial" w:hAnsi="Arial" w:cs="Arial"/>
          <w:color w:val="FF0000"/>
          <w:sz w:val="34"/>
          <w:szCs w:val="34"/>
          <w:lang w:val="en-US"/>
        </w:rPr>
        <w:lastRenderedPageBreak/>
        <w:t>2.Water cycle</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water cycle, also known as the hydrological cycle or the hydrologic cycle, describes the continuous movement of water on, above and below the surface of the Earth. The mass of water on Earth remains fairly constant over time but the partitioning of the water into the major reservoirs of ice, fresh water, saline water and atmospheric water is variable depending on a wide range of climatic variables. The water moves from one reservoir to another, such as from river to ocean, or from the ocean to the atmosphere, by the physical processes of evaporation, condensation, precipitation, infiltration, surface runoff, and subsurface flow. In doing so, the water goes through different forms: liquid, solid (ice) and vapor.</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water cycle involves the exchange of energy, which leads to temperature changes. When water evaporates, it takes up energy from its surroundings and cools the environment. When it condenses, it releases energy and warms the environment. These heat exchanges influence climate.</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evaporative phase of the cycle purifies water which then replenishes the land with freshwater. The flow of liquid water and ice transports minerals across the globe. It is also involved in reshaping the geological features of the Earth, through processes including erosion and sedimentation. The water cycle is also essential for the maintenance of most life and ecosystems on the planet.</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sun, which drives the water cycle, heats water in oceans and seas. Water evaporates as water vapor into the air. Some ice and snow sublimates directly into water vapor. Evapotranspiration is water transpired from plants and evaporated from the soil. The water molecule H2O has smaller molecular mass than the major components of the atmosphere, nitrogen and oxygen, N2 and O2, hence is less dense. Due to the significant difference in density, buoyancy drives humid air higher. As altitude increases, air pressure decreases and the temperature drops (see Gas laws). The lower temperature causes water vapor to condense into tiny liquid water droplets which are heavier than the air and fall unless supported by an updraft. A huge concentration of these droplets over a large space up in the atmosphere become visible as cloud. Some condensation is near ground leveland called fog.</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Atmospheric circulation moves water vapor around the globe, cloud particles collide, grow, and fall out of the upper atmospheric layers as precipitation. Some precipitation falls as snow or hail, sleet, and can accumulate as ice caps and glaciers, which can store frozen water for thousands of years. Most water falls back into the oceans or onto land as rain, where the water flows over the ground as surface runoff. A portion of runoff enters rivers in valleys in the landscape, with streamflow moving water towards the oceans. Runoff and water emerging from the ground (groundwater) may be stored as freshwater in lakes. Not all runoff flows into rivers, much of it soaks into the ground as infiltration. Some water infiltrates deep into the ground and replenishes aquifers, which can store freshwater for long periods of time. Some infiltration stays close to the land surface and can seep back into surface-water bodies (and the ocean) as groundwater discharge. Some groundwater finds openings in the land surface and comes out as freshwater springs. In river valleys and floodplains, there is often continuous water exchange between surface water and ground water in the hyporheic zone. Over time, the water returns to the ocean, to continue the water cycle.</w:t>
      </w:r>
    </w:p>
    <w:p w:rsidR="005D43D5" w:rsidRPr="00A870B1" w:rsidRDefault="005D43D5" w:rsidP="005D43D5">
      <w:pPr>
        <w:spacing w:after="240" w:line="312" w:lineRule="auto"/>
        <w:ind w:firstLine="709"/>
        <w:rPr>
          <w:rFonts w:ascii="Times New Roman" w:hAnsi="Times New Roman" w:cs="Times New Roman"/>
          <w:lang w:val="en-US"/>
        </w:rPr>
      </w:pPr>
    </w:p>
    <w:p w:rsidR="005D43D5" w:rsidRPr="00801AD1" w:rsidRDefault="005D43D5" w:rsidP="005D43D5">
      <w:pPr>
        <w:spacing w:after="240" w:line="312" w:lineRule="auto"/>
        <w:rPr>
          <w:rFonts w:ascii="Arial" w:hAnsi="Arial" w:cs="Arial"/>
          <w:b/>
          <w:u w:val="single"/>
          <w:lang w:val="en-US"/>
        </w:rPr>
      </w:pPr>
      <w:r w:rsidRPr="00801AD1">
        <w:rPr>
          <w:rFonts w:ascii="Arial" w:hAnsi="Arial" w:cs="Arial"/>
          <w:b/>
          <w:u w:val="single"/>
          <w:lang w:val="en-US"/>
        </w:rPr>
        <w:t>Processes</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Precipitation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Condensed water vapor that falls to the Earth's surface. Most precipitation occurs as rain, but also includes snow, hail, fog drip, graupel, and sleet</w:t>
      </w:r>
      <w:r>
        <w:rPr>
          <w:rFonts w:ascii="Times New Roman" w:hAnsi="Times New Roman" w:cs="Times New Roman"/>
          <w:lang w:val="en-US"/>
        </w:rPr>
        <w:t>.</w:t>
      </w:r>
      <w:r w:rsidRPr="00A870B1">
        <w:rPr>
          <w:rFonts w:ascii="Times New Roman" w:hAnsi="Times New Roman" w:cs="Times New Roman"/>
          <w:lang w:val="en-US"/>
        </w:rPr>
        <w:t xml:space="preserve"> Approximately 505,000 km3 (121,000 cu mi) of water falls as precipitation each year, 398,000 km3 (95,000 cu mi) of it over the oceans.The rain on land contains 107,000 km3 (26,000 cu mi) of water per year and a snowing only 1,000 km3 (240 cu mi). 78% of global precipitation occurs over the ocean.</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Canopy interception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precipitation that is intercepted by plant foliage eventually evaporates back to the atmosphere rather than falling to the ground.</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Snowmelt</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runoff produced by melting snow.</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Runoff</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variety of ways by which water moves across the land. This includes both surface runoff and channel runoff. As it flows, the water may seep into the ground, evaporate into the air, become stored in lakes or reservoirs, or be extracted for agricultural or other human uses.</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Infiltration</w:t>
      </w:r>
    </w:p>
    <w:p w:rsidR="005D43D5"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flow of water from the ground surface into the ground. Once infiltrated, the water becomes soil moisture or groundwater. A recent global study using water stable isotopes, however, shows that not all soil moisture is equally available for groundwater recharge or for plant transpiration.</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Subsurface flow</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flow of water underground, in the vadose zone and aquifers. Subsurface water may return to the surface (e.g. as a spring or by being pumped) or eventually seep into the oceans. Water returns to the land surface at lower elevation than where it infiltrated, under the force of gravity or gravity induced pressures. Groundwater tends to move slowly and is replenished slowly, so it can remain in aquifers for thousands of years.</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Evaporation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 xml:space="preserve">The transformation of water from liquid to gas phases as it moves from the ground or bodies of water into the overlying atmosphere. The source of energy for evaporation is primarily solar radiation. Evaporation often implicitly includes transpiration from plants, though together they are </w:t>
      </w:r>
      <w:r w:rsidRPr="00A870B1">
        <w:rPr>
          <w:rFonts w:ascii="Times New Roman" w:hAnsi="Times New Roman" w:cs="Times New Roman"/>
          <w:lang w:val="en-US"/>
        </w:rPr>
        <w:lastRenderedPageBreak/>
        <w:t>specifically referred to as evapotranspiration. Total annual evapotranspiration amounts to approximately 505,000 km3 (121,000 cu mi) of water, 434,000 km3 (104,000 cu mi) of which evaporates from the oceans. 86% of global evaporation occurs over the ocean.</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Sublimation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state change directly from solid water (snow or ice) to water vapor by passing the liquid state.</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Deposition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This refers to changing of water vapor directly to ice.</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Advection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movement of water through the atmosphere. Without advection, water that evaporated over the oceans could not precipitate over land.</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Condensation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transformation of water vapor to liquid water droplets in the air, creating clouds and fog.</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Transpiration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release of water vapor from plants and soil into the air.</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Percolation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Water flows vertically through the soil and rocks under the influence of gravity.</w:t>
      </w:r>
    </w:p>
    <w:p w:rsidR="005D43D5" w:rsidRPr="00906923" w:rsidRDefault="005D43D5" w:rsidP="005D43D5">
      <w:pPr>
        <w:spacing w:after="240" w:line="312" w:lineRule="auto"/>
        <w:rPr>
          <w:rFonts w:ascii="Times New Roman" w:hAnsi="Times New Roman" w:cs="Times New Roman"/>
          <w:i/>
          <w:u w:val="single"/>
          <w:lang w:val="en-US"/>
        </w:rPr>
      </w:pPr>
      <w:r w:rsidRPr="00906923">
        <w:rPr>
          <w:rFonts w:ascii="Times New Roman" w:hAnsi="Times New Roman" w:cs="Times New Roman"/>
          <w:i/>
          <w:u w:val="single"/>
          <w:lang w:val="en-US"/>
        </w:rPr>
        <w:t>Plate tectonics</w:t>
      </w:r>
    </w:p>
    <w:p w:rsidR="005D43D5"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Water enters the mantle via subduction of oceanic crust. Water returns to the surface via volcanism.</w:t>
      </w:r>
    </w:p>
    <w:p w:rsidR="005D43D5" w:rsidRPr="00906923" w:rsidRDefault="005D43D5" w:rsidP="005D43D5">
      <w:pPr>
        <w:spacing w:after="240" w:line="312" w:lineRule="auto"/>
        <w:rPr>
          <w:rFonts w:ascii="Arial" w:hAnsi="Arial" w:cs="Arial"/>
          <w:b/>
          <w:u w:val="single"/>
          <w:lang w:val="en-US"/>
        </w:rPr>
      </w:pPr>
      <w:r w:rsidRPr="00906923">
        <w:rPr>
          <w:rFonts w:ascii="Arial" w:hAnsi="Arial" w:cs="Arial"/>
          <w:b/>
          <w:u w:val="single"/>
          <w:lang w:val="en-US"/>
        </w:rPr>
        <w:t>Residence times</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residence time of a reservoir within the hydrologic cycle is the average time a water molecule will spend in that reservoir (see adjacent table). It is a measure of the average age of the water in that reservoir.</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Groundwater can spend over 10,000 years beneath Earth's surface before leaving. Particularly old groundwater is called fossil water. Water stored in the soil remains there very briefly, because it is spread thinly across the Earth, and is readily lost by evaporation, transpiration, stream flow, or groundwater recharge. After evaporating, the residence time in the atmosphere is about 9 days before condensing and falling to the Earth as precipitation.</w:t>
      </w:r>
      <w:bookmarkStart w:id="0" w:name="_GoBack"/>
      <w:bookmarkEnd w:id="0"/>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lastRenderedPageBreak/>
        <w:t>The major ice sheets - Antarctica and Greenland - store ice for very long periods. Ice from Antarctica has been reliably dated to 800,000 years before present, though the average residence time is shorter.</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In hydrology, residence times can be estimated in two ways. The more common method relies on the principle of conservation of mass and assumes the amount of water in a given reservoir is roughly constant. With this method, residence times are estimated by dividing the volume of the reservoir by the rate by which water either enters or exits the reservoir. Conceptually, this is equivalent to timing how long it would take the reservoir to become filled from empty if no water were to leave (or how long it would take the reservoir to empty from full if no water were to enter).</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An alternative method to estimate residence times, which is gaining in popularity for dating groundwater, is the use of isotopic techniques. This is done in the subfield of isotope hydrology.</w:t>
      </w:r>
    </w:p>
    <w:p w:rsidR="005D43D5" w:rsidRPr="00906923" w:rsidRDefault="005D43D5" w:rsidP="005D43D5">
      <w:pPr>
        <w:spacing w:after="240" w:line="312" w:lineRule="auto"/>
        <w:rPr>
          <w:rFonts w:ascii="Arial" w:hAnsi="Arial" w:cs="Arial"/>
          <w:b/>
          <w:u w:val="single"/>
          <w:lang w:val="en-US"/>
        </w:rPr>
      </w:pPr>
      <w:r w:rsidRPr="00906923">
        <w:rPr>
          <w:rFonts w:ascii="Arial" w:hAnsi="Arial" w:cs="Arial"/>
          <w:b/>
          <w:u w:val="single"/>
          <w:lang w:val="en-US"/>
        </w:rPr>
        <w:t>Changes over time</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Time-mean precipitation and evaporation as a function of latitude as simulated by an aqua-planet version of an atmospheric GCM (GFDL’s AM2.1) with a homogeneous “slab-ocean” lower boundary (saturated surface with small heat capacity), forced by annual mean insolation.</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water cycle describes the processes that drive the movement of water throughout the hydrosphere. However, much more water is "in storage" for long periods of time than is actually moving through the cycle. The storehouses for the vast majority of all water on Earth are the oceans. It is estimated that of the 332,500,000 mi3 (1,386,000,000 km3) of the world's water supply, about 321,000,000 mi3 (1,338,000,000 km3) is stored in oceans, or about 97%. It is also estimated that the oceans supply about 90% of the evaporated water that goes into the water cycle.</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During colder climatic periods, more ice caps and glaciers form, and enough of the global water supply accumulates as ice to lessen the amounts in other parts of the water cycle. The reverse is true during warm periods. During the last ice age, glaciers covered almost one-third of Earth's land mass with the result being that the oceans were about 122 m (400 ft) lower than today. During the last global "warm spell," about 125,000 years ago, the seas were about 5.5 m (18 ft) higher than they are now. About three million years ago the oceans could have been up to 50 m (165 ft) higher.</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 xml:space="preserve">The scientific consensus expressed in the 2007 Intergovernmental Panel on Climate Change (IPCC) Summary for Policymakers is for the water cycle to continue to intensify throughout the 21st century, though this does not mean that precipitation will increase in all regions. In subtropical land areas — places that are already relatively dry — precipitation is projected to decrease during the 21st century, increasing the probability of drought. The drying is projected to be strongest near the poleward margins of the subtropics (for example, the Mediterranean Basin, South Africa, southern Australia, and the Southwestern United States). Annual precipitation amounts are expected to increase in near-equatorial regions that tend to be wet in the present climate, and also at high latitudes. These large-scale patterns are present in nearly all of the climate model simulations conducted at several international research centers as part of the 4th Assessment of the IPCC. There is now ample evidence </w:t>
      </w:r>
      <w:r w:rsidRPr="00A870B1">
        <w:rPr>
          <w:rFonts w:ascii="Times New Roman" w:hAnsi="Times New Roman" w:cs="Times New Roman"/>
          <w:lang w:val="en-US"/>
        </w:rPr>
        <w:lastRenderedPageBreak/>
        <w:t>that increased hydrologic variability and change in climate has and will continue to have a profound impact on the water sector through the hydrologic cycle, water availability, water demand, and water allocation at the global, regional, basin, and local levels. Research published in 2012 in Science based on surface ocean salinity over the period 1950 to 2000 confirm this projection of an intensified global water cycle with salty areas becoming more saline and fresher areas becoming more fresh over the period:</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Fundamental thermodynamics and climate models suggest that dry regions will become drier and wet regions will become wetter in response to warming. Efforts to detect this long-term response in sparse surface observations of rainfall and evaporation remain ambiguous. We show that ocean salinity patterns express an identifiable fingerprint of an intensifying water cycle. Our 50-year observed global surface salinity changes, combined with changes from global climate models, present robust evidence of an intensified global water cycle at a rate of 8 ± 5% per degree of surface warming. This rate is double the response projected by current-generation climate models and suggests that a substantial (16 to 24%) intensification of the global water cycle will occur in a future 2° to 3° warmer world.</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An instrument carried by the SAC-D satellite Aquarius, launched in June2011, measured global sea surface salinity.</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Glacial retreat is also an example of a changing water cycle, where the supply of water to glaciers from precipitation cannot keep up with the loss of water from melting and sublimation. Glacial retreat since 1850 has been extensive.</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water cycle is powered from solar energy. 86% of the global evaporation occurs from the oceans, reducing their temperature by evaporative cooling. Without the cooling, the effect of evaporation on the greenhouse effect would lead to a much higher surface temperature of 67 °C (153 °F), and a warmer planet.</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Aquifer drawdown or overdrafting and the pumping of fossil water increases the total amount of water in the hydrosphereand has been postulated to be a contributor to sea-level rise.</w:t>
      </w:r>
    </w:p>
    <w:p w:rsidR="005D43D5" w:rsidRPr="00906923" w:rsidRDefault="005D43D5" w:rsidP="005D43D5">
      <w:pPr>
        <w:spacing w:after="240" w:line="312" w:lineRule="auto"/>
        <w:rPr>
          <w:rFonts w:ascii="Arial" w:hAnsi="Arial" w:cs="Arial"/>
          <w:b/>
          <w:u w:val="single"/>
          <w:lang w:val="en-US"/>
        </w:rPr>
      </w:pPr>
      <w:r w:rsidRPr="00906923">
        <w:rPr>
          <w:rFonts w:ascii="Arial" w:hAnsi="Arial" w:cs="Arial"/>
          <w:b/>
          <w:u w:val="single"/>
          <w:lang w:val="en-US"/>
        </w:rPr>
        <w:t>Effects on biogeochemical cycling</w:t>
      </w:r>
    </w:p>
    <w:p w:rsidR="005D43D5" w:rsidRPr="00A870B1"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While the water cycle is itself a biogeochemical cycle, flow of water over and beneath the Earth is a key component of the cycling of other biogeochemicals. Runoff is responsible for almost all of the transport of eroded sediment and phosphorus from land to waterbodies. The salinity of the oceans is derived from erosion and transport of dissolved salts from the land. Cultural eutrophication of lakes is primarily due to phosphorus, applied in excess to agricultural fields in fertilizers, and then transported overland and down rivers. Both runoff and groundwater flow play significant roles in transporting nitrogen from the land to waterbodies.The dead zone at the outlet of the Mississippi River is a consequence of nitrates from fertilizer being carried off agricultural fields and funnelled down the river system to the Gulf of Mexico. Runoff also plays a part in the carbon cycle, again through the transport of eroded rock and soil.</w:t>
      </w:r>
    </w:p>
    <w:p w:rsidR="005D43D5" w:rsidRPr="00906923" w:rsidRDefault="005D43D5" w:rsidP="005D43D5">
      <w:pPr>
        <w:spacing w:after="240" w:line="312" w:lineRule="auto"/>
        <w:rPr>
          <w:rFonts w:ascii="Arial" w:hAnsi="Arial" w:cs="Arial"/>
          <w:b/>
          <w:u w:val="single"/>
          <w:lang w:val="en-US"/>
        </w:rPr>
      </w:pPr>
      <w:r w:rsidRPr="00906923">
        <w:rPr>
          <w:rFonts w:ascii="Arial" w:hAnsi="Arial" w:cs="Arial"/>
          <w:b/>
          <w:u w:val="single"/>
          <w:lang w:val="en-US"/>
        </w:rPr>
        <w:lastRenderedPageBreak/>
        <w:t>Slow loss over geologic time</w:t>
      </w:r>
    </w:p>
    <w:p w:rsidR="005D43D5" w:rsidRDefault="005D43D5" w:rsidP="005D43D5">
      <w:pPr>
        <w:spacing w:after="240" w:line="312" w:lineRule="auto"/>
        <w:ind w:firstLine="709"/>
        <w:rPr>
          <w:rFonts w:ascii="Times New Roman" w:hAnsi="Times New Roman" w:cs="Times New Roman"/>
          <w:lang w:val="en-US"/>
        </w:rPr>
      </w:pPr>
      <w:r w:rsidRPr="00A870B1">
        <w:rPr>
          <w:rFonts w:ascii="Times New Roman" w:hAnsi="Times New Roman" w:cs="Times New Roman"/>
          <w:lang w:val="en-US"/>
        </w:rPr>
        <w:t>The hydrodynamic wind within the upper portion of a planet's atmosphere allows light chemical elements such as Hydrogen to move up to the exobase, the lower limit of the exosphere, where the gases can then reach escape velocity, entering outer space without impacting other particles of gas. This type of gas loss from a planet into space is known as planetary wind. Planets with hot lower atmospheres could result in humid upper atmospheres that accelerate the loss of hydrogen.</w:t>
      </w:r>
    </w:p>
    <w:p w:rsidR="005D43D5" w:rsidRDefault="005D43D5" w:rsidP="005D43D5">
      <w:pPr>
        <w:spacing w:line="312" w:lineRule="auto"/>
        <w:ind w:firstLine="709"/>
        <w:rPr>
          <w:rFonts w:ascii="Times New Roman" w:hAnsi="Times New Roman" w:cs="Times New Roman"/>
          <w:lang w:val="en-US"/>
        </w:rPr>
        <w:sectPr w:rsidR="005D43D5" w:rsidSect="00D07F03">
          <w:footerReference w:type="even" r:id="rId10"/>
          <w:footerReference w:type="first" r:id="rId11"/>
          <w:pgSz w:w="11906" w:h="16838"/>
          <w:pgMar w:top="1418" w:right="1418" w:bottom="1418" w:left="1418" w:header="709" w:footer="709" w:gutter="0"/>
          <w:cols w:space="708"/>
          <w:titlePg/>
          <w:docGrid w:linePitch="360"/>
        </w:sectPr>
      </w:pPr>
    </w:p>
    <w:p w:rsidR="005D43D5" w:rsidRPr="007D0BC4" w:rsidRDefault="005D43D5" w:rsidP="005D43D5">
      <w:pPr>
        <w:spacing w:after="380" w:line="312" w:lineRule="auto"/>
        <w:jc w:val="center"/>
        <w:rPr>
          <w:rFonts w:ascii="Arial" w:hAnsi="Arial" w:cs="Arial"/>
          <w:color w:val="FF0000"/>
          <w:sz w:val="34"/>
          <w:szCs w:val="34"/>
          <w:lang w:val="en-US"/>
        </w:rPr>
      </w:pPr>
      <w:r w:rsidRPr="007D0BC4">
        <w:rPr>
          <w:rFonts w:ascii="Arial" w:hAnsi="Arial" w:cs="Arial"/>
          <w:color w:val="FF0000"/>
          <w:sz w:val="34"/>
          <w:szCs w:val="34"/>
          <w:lang w:val="en-US"/>
        </w:rPr>
        <w:lastRenderedPageBreak/>
        <w:t>3.Greenhouse effect</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The greenhouse effect is the process by which radiation from a planet's atmosphere warms the planet's surface to a temperature above what it would be without its atmosphere.</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If a planet's atmosphere contains radiatively active gases (i.e., greenhouse gases) they will radiate energy in all directions. Part of this radiation is directed towards the surface, warming it.The intensity of the downward radiation – that is, the strength of the greenhouse effect – will depend on the atmosphere's temperature and on the amount of greenhouse gases that the atmosphere contains.</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Earth’s natural greenhouse effect is critical to supporting life. Human activities, mainly the burning of fossil fuels and clearing of forests, have strengthened the greenhouse effect and caused global warming.</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The term "greenhouse effect" arose from a faulty analogy with the effect of sunlight passing through glass and warming a greenhouse. The way a greenhouse retains heat is fundamentally different, as a greenhouse works mostly by reducing airflow so that warm air is kept inside.</w:t>
      </w:r>
    </w:p>
    <w:p w:rsidR="005D43D5" w:rsidRPr="007D0BC4" w:rsidRDefault="005D43D5" w:rsidP="005D43D5">
      <w:pPr>
        <w:spacing w:after="240" w:line="312" w:lineRule="auto"/>
        <w:rPr>
          <w:rFonts w:ascii="Arial" w:hAnsi="Arial" w:cs="Arial"/>
          <w:b/>
          <w:u w:val="single"/>
          <w:lang w:val="en-US"/>
        </w:rPr>
      </w:pPr>
      <w:r w:rsidRPr="007D0BC4">
        <w:rPr>
          <w:rFonts w:ascii="Arial" w:hAnsi="Arial" w:cs="Arial"/>
          <w:b/>
          <w:u w:val="single"/>
          <w:lang w:val="en-US"/>
        </w:rPr>
        <w:t>History</w:t>
      </w:r>
    </w:p>
    <w:p w:rsidR="005D43D5" w:rsidRPr="007D0BC4"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The existence of the greenhouse effect was argued for by Joseph Fourier in 1824. The argument and the evidence were further strengthened by Claude Pouillet in 1827 and 1838 and reasoned from experimental observations by John Tyndall in 1859, who measured the radiative properties of specific greenhouse gases.[7] The effect was more fully quantified by Svante Arrhenius in 1896, who made the first quantitative prediction of global warming due to a hypothetical doubling of atmospheric carbon dioxide.[8] However, the term "greenhouse" was not used to refer to this effect by any of these scientists; the term was first used in this way by Nils Gustaf Ekholm in 1901</w:t>
      </w:r>
      <w:r w:rsidRPr="007D0BC4">
        <w:rPr>
          <w:rFonts w:ascii="Times New Roman" w:hAnsi="Times New Roman" w:cs="Times New Roman"/>
          <w:lang w:val="en-US"/>
        </w:rPr>
        <w:t>.</w:t>
      </w:r>
    </w:p>
    <w:p w:rsidR="005D43D5" w:rsidRPr="007D0BC4" w:rsidRDefault="005D43D5" w:rsidP="005D43D5">
      <w:pPr>
        <w:spacing w:after="240" w:line="312" w:lineRule="auto"/>
        <w:rPr>
          <w:rFonts w:ascii="Arial" w:hAnsi="Arial" w:cs="Arial"/>
          <w:b/>
          <w:u w:val="single"/>
          <w:lang w:val="en-US"/>
        </w:rPr>
      </w:pPr>
      <w:r w:rsidRPr="007D0BC4">
        <w:rPr>
          <w:rFonts w:ascii="Arial" w:hAnsi="Arial" w:cs="Arial"/>
          <w:b/>
          <w:u w:val="single"/>
          <w:lang w:val="en-US"/>
        </w:rPr>
        <w:t>Mechanism</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Earth receives energy from the Sun in the form of ultraviolet, visible, and near-infrared radiation. About 26% of the incoming solar energy is reflected to space by the atmosphere and clouds, and 19% is absorbed by the atmosphere and clouds. Most of the remaining energy is absorbed at the surface of Earth. Because the Earth's surface is colder than the Sun, it radiates at wavelengths that are much longer than the wavelengths that were absorbed. Most of this thermal radiation is absorbed by the atmosphere and warms it. The atmosphere also gains heat by sensible and latent heat fluxes from the surface. The atmosphere radiates energy both upwards and downwards; the part radiated downwards is absorbed by the surface of Earth. This leads to a higher equilibrium temperature than if the atmosphere were absent.</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 xml:space="preserve">An ideal thermally conductive blackbody at the same distance from the Sun as Earth would have a temperature of about 5.3 °C. However, because Earth reflects about 30%of the incoming sunlight, this idealized planet's effective temperature (the temperature of a blackbody that would emit </w:t>
      </w:r>
      <w:r w:rsidRPr="00C351E0">
        <w:rPr>
          <w:rFonts w:ascii="Times New Roman" w:hAnsi="Times New Roman" w:cs="Times New Roman"/>
          <w:lang w:val="en-US"/>
        </w:rPr>
        <w:lastRenderedPageBreak/>
        <w:t>the same amount of radiation) would be about −18 °C. The surface temperature of this hypothetical planet is 33 °C below Earth's actual surface temperature of approximately 14 °C.</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The basic mechanism can be qualified in a number of ways, none of which affect the fundamental process. The atmosphere near the surface is largely opaque to thermal radiation (with important exceptions for "window" bands), and most heat loss from the surface is by sensible heat and latent heat transport. Radiative energy losses become increasingly important higher in the atmosphere, largely because of the decreasing concentration of water vapor, an important greenhouse gas. It is more realistic to think of the greenhouse effect as applying to a "surface" in the mid-troposphere, which is effectively coupled to the surface by a lapse rate. The simple picture also assumes a steady state, but in the real world, there are variations due to the diurnal cycle as well as the seasonal cycle and weather disturbances. Solar heating only applies during daytime. During the night, the atmosphere cools somewhat, but not greatly, because its emissivity is low. Diurnal temperature changes decrease with height in the atmosphere.</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Within the region where radiative effects are important, the description given by the idealized greenhouse model becomes realistic. Earth's surface, warmed to a temperature around 255 K, radiates long-wavelength, infrared heat in the range of 4–100 μm. At these wavelengths, greenhouse gases that were largely transparent to incoming solar radiation are more absorbent. Each layer of atmosphere with greenhouses gases absorbs some of the heat being radiated upwards from lower layers. It reradiates in all directions, both upwards and downwards; in equilibrium (by definition) the same amount as it has absorbed. This results in more warmth below. Increasing the concentration of the gases increases the amount of absorption and reradiation, and thereby further warms the layers and ultimately the surface below.</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Greenhouse gases—including most diatomic gases with two different atoms (such as carbon monoxide, CO) and all gases with three or more atoms—are able to absorb and emit infrared radiation. Though more than 99% of the dry atmosphere is IR transparent (because the main constituents—N2, O2, and Ar—are not able to directly absorb or emit infrared radiation), intermolecular collisions cause the energy absorbed and emitted by the greenhouse gases to be shared with the other, non-IR-active, gases.</w:t>
      </w:r>
    </w:p>
    <w:p w:rsidR="005D43D5" w:rsidRPr="007D0BC4" w:rsidRDefault="005D43D5" w:rsidP="005D43D5">
      <w:pPr>
        <w:spacing w:after="240" w:line="312" w:lineRule="auto"/>
        <w:rPr>
          <w:rFonts w:ascii="Arial" w:hAnsi="Arial" w:cs="Arial"/>
          <w:b/>
          <w:u w:val="single"/>
          <w:lang w:val="en-US"/>
        </w:rPr>
      </w:pPr>
      <w:r w:rsidRPr="007D0BC4">
        <w:rPr>
          <w:rFonts w:ascii="Arial" w:hAnsi="Arial" w:cs="Arial"/>
          <w:b/>
          <w:u w:val="single"/>
          <w:lang w:val="en-US"/>
        </w:rPr>
        <w:t>Greenhouse gases</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By their percentage contribution to the greenhouse effect on Earth the four major gases are:</w:t>
      </w:r>
    </w:p>
    <w:p w:rsidR="005D43D5" w:rsidRPr="007D0BC4" w:rsidRDefault="005D43D5" w:rsidP="005D43D5">
      <w:pPr>
        <w:pStyle w:val="ListParagraph"/>
        <w:numPr>
          <w:ilvl w:val="0"/>
          <w:numId w:val="1"/>
        </w:numPr>
        <w:spacing w:after="240" w:line="312" w:lineRule="auto"/>
        <w:rPr>
          <w:rFonts w:ascii="Times New Roman" w:hAnsi="Times New Roman" w:cs="Times New Roman"/>
          <w:lang w:val="en-US"/>
        </w:rPr>
      </w:pPr>
      <w:r w:rsidRPr="007D0BC4">
        <w:rPr>
          <w:rFonts w:ascii="Times New Roman" w:hAnsi="Times New Roman" w:cs="Times New Roman"/>
          <w:lang w:val="en-US"/>
        </w:rPr>
        <w:t>water vapor, 36–70%</w:t>
      </w:r>
    </w:p>
    <w:p w:rsidR="005D43D5" w:rsidRPr="007D0BC4" w:rsidRDefault="005D43D5" w:rsidP="005D43D5">
      <w:pPr>
        <w:pStyle w:val="ListParagraph"/>
        <w:numPr>
          <w:ilvl w:val="0"/>
          <w:numId w:val="1"/>
        </w:numPr>
        <w:spacing w:after="240" w:line="312" w:lineRule="auto"/>
        <w:rPr>
          <w:rFonts w:ascii="Times New Roman" w:hAnsi="Times New Roman" w:cs="Times New Roman"/>
          <w:lang w:val="en-US"/>
        </w:rPr>
      </w:pPr>
      <w:r w:rsidRPr="007D0BC4">
        <w:rPr>
          <w:rFonts w:ascii="Times New Roman" w:hAnsi="Times New Roman" w:cs="Times New Roman"/>
          <w:lang w:val="en-US"/>
        </w:rPr>
        <w:t>carbon dioxide, 9–26%</w:t>
      </w:r>
    </w:p>
    <w:p w:rsidR="005D43D5" w:rsidRPr="007D0BC4" w:rsidRDefault="005D43D5" w:rsidP="005D43D5">
      <w:pPr>
        <w:pStyle w:val="ListParagraph"/>
        <w:numPr>
          <w:ilvl w:val="0"/>
          <w:numId w:val="1"/>
        </w:numPr>
        <w:spacing w:after="240" w:line="312" w:lineRule="auto"/>
        <w:rPr>
          <w:rFonts w:ascii="Times New Roman" w:hAnsi="Times New Roman" w:cs="Times New Roman"/>
          <w:lang w:val="en-US"/>
        </w:rPr>
      </w:pPr>
      <w:r w:rsidRPr="007D0BC4">
        <w:rPr>
          <w:rFonts w:ascii="Times New Roman" w:hAnsi="Times New Roman" w:cs="Times New Roman"/>
          <w:lang w:val="en-US"/>
        </w:rPr>
        <w:t>methane, 4–9%</w:t>
      </w:r>
    </w:p>
    <w:p w:rsidR="005D43D5" w:rsidRPr="007D0BC4" w:rsidRDefault="005D43D5" w:rsidP="005D43D5">
      <w:pPr>
        <w:pStyle w:val="ListParagraph"/>
        <w:numPr>
          <w:ilvl w:val="0"/>
          <w:numId w:val="1"/>
        </w:numPr>
        <w:spacing w:after="240" w:line="312" w:lineRule="auto"/>
        <w:rPr>
          <w:rFonts w:ascii="Times New Roman" w:hAnsi="Times New Roman" w:cs="Times New Roman"/>
          <w:lang w:val="en-US"/>
        </w:rPr>
      </w:pPr>
      <w:r w:rsidRPr="007D0BC4">
        <w:rPr>
          <w:rFonts w:ascii="Times New Roman" w:hAnsi="Times New Roman" w:cs="Times New Roman"/>
          <w:lang w:val="en-US"/>
        </w:rPr>
        <w:t>ozone, 3–7%</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It is not possible to assign a specific percentage to each gas because the absorption and emission bands of the gases overlap (hence the ranges given above). Clouds also absorb and emit infrared radiation and thus affect the radiative properties of the atmosphere.</w:t>
      </w:r>
    </w:p>
    <w:p w:rsidR="005D43D5" w:rsidRPr="007D0BC4" w:rsidRDefault="005D43D5" w:rsidP="005D43D5">
      <w:pPr>
        <w:spacing w:after="240" w:line="312" w:lineRule="auto"/>
        <w:rPr>
          <w:rFonts w:ascii="Arial" w:hAnsi="Arial" w:cs="Arial"/>
          <w:b/>
          <w:u w:val="single"/>
          <w:lang w:val="en-US"/>
        </w:rPr>
      </w:pPr>
      <w:r w:rsidRPr="007D0BC4">
        <w:rPr>
          <w:rFonts w:ascii="Arial" w:hAnsi="Arial" w:cs="Arial"/>
          <w:b/>
          <w:u w:val="single"/>
          <w:lang w:val="en-US"/>
        </w:rPr>
        <w:lastRenderedPageBreak/>
        <w:t>Role in climate change</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Strengthening of the greenhouse effect through human activities is known as the enhanced (or anthropogenic) greenhouse effect. This increase in radiative forcing from human activity is attributable mainly to increased atmospheric carbon dioxide levels. According to the latest Assessment Report from the Intergovernmental Panel on Climate Change, "atmospheric concentrations of carbon dioxide, methane and nitrous oxide are unprecedented in at least the last 800,000 years. Their effects, together with those of other anthropogenic drivers, have been detected throughout the climate system and are extremely likely to have been the dominant cause of the observed warming since the mid-20th century".</w:t>
      </w:r>
    </w:p>
    <w:p w:rsidR="005D43D5" w:rsidRPr="00C351E0"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CO2 is produced by fossil fuel burning and other activities such as cement production and tropical deforestation. Measurements of CO2 from the Mauna Loa observatory show that concentrations have increased from about 313 parts per million (ppm) in 1960 to about 389 ppm in 2010. It reached the 400 ppm milestone on May 9, 2013. The current observed amount of CO2 exceeds the geological record maxima (~300 ppm) from ice core data. The effect of combustion-produced carbon dioxide on the global climate, a special case of the greenhouse effect first described in 1896 by Svante Arrhenius, has also been called the Callendar effect.</w:t>
      </w:r>
    </w:p>
    <w:p w:rsidR="005D43D5" w:rsidRDefault="005D43D5" w:rsidP="005D43D5">
      <w:pPr>
        <w:spacing w:after="240" w:line="312" w:lineRule="auto"/>
        <w:ind w:firstLine="709"/>
        <w:rPr>
          <w:rFonts w:ascii="Times New Roman" w:hAnsi="Times New Roman" w:cs="Times New Roman"/>
          <w:lang w:val="en-US"/>
        </w:rPr>
      </w:pPr>
      <w:r w:rsidRPr="00C351E0">
        <w:rPr>
          <w:rFonts w:ascii="Times New Roman" w:hAnsi="Times New Roman" w:cs="Times New Roman"/>
          <w:lang w:val="en-US"/>
        </w:rPr>
        <w:t>Over the past 800,000 years, ice core data shows that carbon dioxide has varied from values as low as 180 ppm to the pre-industrial level of 270 ppm. Paleoclimatologists consider variations in carbon dioxide concentration to be a fundamental factor influencing climate variations over this time scale.</w:t>
      </w:r>
    </w:p>
    <w:p w:rsidR="005D43D5" w:rsidRPr="00200313" w:rsidRDefault="005D43D5" w:rsidP="005D43D5">
      <w:pPr>
        <w:jc w:val="center"/>
        <w:rPr>
          <w:rFonts w:ascii="Times New Roman" w:hAnsi="Times New Roman" w:cs="Times New Roman"/>
          <w:b/>
          <w:lang w:val="en-US"/>
        </w:rPr>
      </w:pPr>
      <w:r w:rsidRPr="00200313">
        <w:rPr>
          <w:rFonts w:ascii="Times New Roman" w:hAnsi="Times New Roman" w:cs="Times New Roman"/>
          <w:b/>
          <w:lang w:val="en-US"/>
        </w:rPr>
        <w:t>Class Schedule</w:t>
      </w:r>
    </w:p>
    <w:tbl>
      <w:tblPr>
        <w:tblStyle w:val="TableGrid"/>
        <w:tblW w:w="0" w:type="auto"/>
        <w:tblLook w:val="04A0"/>
      </w:tblPr>
      <w:tblGrid>
        <w:gridCol w:w="1812"/>
        <w:gridCol w:w="1812"/>
        <w:gridCol w:w="1812"/>
        <w:gridCol w:w="1812"/>
        <w:gridCol w:w="1812"/>
      </w:tblGrid>
      <w:tr w:rsidR="005D43D5" w:rsidRPr="00E260D4" w:rsidTr="005E37C9">
        <w:tc>
          <w:tcPr>
            <w:tcW w:w="1812" w:type="dxa"/>
            <w:shd w:val="clear" w:color="auto" w:fill="2F5496" w:themeFill="accent1" w:themeFillShade="BF"/>
          </w:tcPr>
          <w:p w:rsidR="005D43D5" w:rsidRPr="00E260D4" w:rsidRDefault="005D43D5" w:rsidP="005E37C9">
            <w:pPr>
              <w:jc w:val="center"/>
              <w:rPr>
                <w:rFonts w:ascii="Arial" w:hAnsi="Arial" w:cs="Arial"/>
                <w:color w:val="FFFFFF" w:themeColor="background1"/>
                <w:lang w:val="en-US"/>
              </w:rPr>
            </w:pPr>
            <w:r w:rsidRPr="00E260D4">
              <w:rPr>
                <w:rFonts w:ascii="Arial" w:hAnsi="Arial" w:cs="Arial"/>
                <w:color w:val="FFFFFF" w:themeColor="background1"/>
                <w:lang w:val="en-US"/>
              </w:rPr>
              <w:t>LESSON</w:t>
            </w:r>
          </w:p>
        </w:tc>
        <w:tc>
          <w:tcPr>
            <w:tcW w:w="1812" w:type="dxa"/>
            <w:shd w:val="clear" w:color="auto" w:fill="2F5496" w:themeFill="accent1" w:themeFillShade="BF"/>
          </w:tcPr>
          <w:p w:rsidR="005D43D5" w:rsidRPr="00E260D4" w:rsidRDefault="005D43D5" w:rsidP="005E37C9">
            <w:pPr>
              <w:jc w:val="center"/>
              <w:rPr>
                <w:rFonts w:ascii="Arial" w:hAnsi="Arial" w:cs="Arial"/>
                <w:color w:val="FFFFFF" w:themeColor="background1"/>
                <w:lang w:val="en-US"/>
              </w:rPr>
            </w:pPr>
            <w:r w:rsidRPr="00E260D4">
              <w:rPr>
                <w:rFonts w:ascii="Arial" w:hAnsi="Arial" w:cs="Arial"/>
                <w:color w:val="FFFFFF" w:themeColor="background1"/>
                <w:lang w:val="en-US"/>
              </w:rPr>
              <w:t>TOPIC</w:t>
            </w:r>
          </w:p>
        </w:tc>
        <w:tc>
          <w:tcPr>
            <w:tcW w:w="1812" w:type="dxa"/>
            <w:shd w:val="clear" w:color="auto" w:fill="2F5496" w:themeFill="accent1" w:themeFillShade="BF"/>
          </w:tcPr>
          <w:p w:rsidR="005D43D5" w:rsidRPr="00E260D4" w:rsidRDefault="005D43D5" w:rsidP="005E37C9">
            <w:pPr>
              <w:jc w:val="center"/>
              <w:rPr>
                <w:rFonts w:ascii="Arial" w:hAnsi="Arial" w:cs="Arial"/>
                <w:color w:val="FFFFFF" w:themeColor="background1"/>
                <w:lang w:val="en-US"/>
              </w:rPr>
            </w:pPr>
            <w:r w:rsidRPr="00E260D4">
              <w:rPr>
                <w:rFonts w:ascii="Arial" w:hAnsi="Arial" w:cs="Arial"/>
                <w:color w:val="FFFFFF" w:themeColor="background1"/>
                <w:lang w:val="en-US"/>
              </w:rPr>
              <w:t>ASSIGNMENT</w:t>
            </w:r>
          </w:p>
        </w:tc>
        <w:tc>
          <w:tcPr>
            <w:tcW w:w="1812" w:type="dxa"/>
            <w:shd w:val="clear" w:color="auto" w:fill="2F5496" w:themeFill="accent1" w:themeFillShade="BF"/>
          </w:tcPr>
          <w:p w:rsidR="005D43D5" w:rsidRPr="00E260D4" w:rsidRDefault="005D43D5" w:rsidP="005E37C9">
            <w:pPr>
              <w:jc w:val="center"/>
              <w:rPr>
                <w:rFonts w:ascii="Arial" w:hAnsi="Arial" w:cs="Arial"/>
                <w:color w:val="FFFFFF" w:themeColor="background1"/>
                <w:lang w:val="en-US"/>
              </w:rPr>
            </w:pPr>
            <w:r w:rsidRPr="00E260D4">
              <w:rPr>
                <w:rFonts w:ascii="Arial" w:hAnsi="Arial" w:cs="Arial"/>
                <w:color w:val="FFFFFF" w:themeColor="background1"/>
                <w:lang w:val="en-US"/>
              </w:rPr>
              <w:t>Points</w:t>
            </w:r>
          </w:p>
        </w:tc>
        <w:tc>
          <w:tcPr>
            <w:tcW w:w="1812" w:type="dxa"/>
            <w:shd w:val="clear" w:color="auto" w:fill="2F5496" w:themeFill="accent1" w:themeFillShade="BF"/>
          </w:tcPr>
          <w:p w:rsidR="005D43D5" w:rsidRPr="00E260D4" w:rsidRDefault="005D43D5" w:rsidP="005E37C9">
            <w:pPr>
              <w:jc w:val="center"/>
              <w:rPr>
                <w:rFonts w:ascii="Arial" w:hAnsi="Arial" w:cs="Arial"/>
                <w:color w:val="FFFFFF" w:themeColor="background1"/>
                <w:lang w:val="en-US"/>
              </w:rPr>
            </w:pPr>
            <w:r w:rsidRPr="00E260D4">
              <w:rPr>
                <w:rFonts w:ascii="Arial" w:hAnsi="Arial" w:cs="Arial"/>
                <w:color w:val="FFFFFF" w:themeColor="background1"/>
                <w:lang w:val="en-US"/>
              </w:rPr>
              <w:t>DUE</w:t>
            </w:r>
          </w:p>
        </w:tc>
      </w:tr>
      <w:tr w:rsidR="005D43D5" w:rsidRPr="00E260D4" w:rsidTr="005E37C9">
        <w:trPr>
          <w:trHeight w:val="255"/>
        </w:trPr>
        <w:tc>
          <w:tcPr>
            <w:tcW w:w="1812" w:type="dxa"/>
            <w:vMerge w:val="restart"/>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1</w:t>
            </w:r>
          </w:p>
        </w:tc>
        <w:tc>
          <w:tcPr>
            <w:tcW w:w="1812" w:type="dxa"/>
            <w:vMerge w:val="restart"/>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What is distance learning?</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Wiki #1</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10</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March 10</w:t>
            </w:r>
          </w:p>
        </w:tc>
      </w:tr>
      <w:tr w:rsidR="005D43D5" w:rsidRPr="00E260D4" w:rsidTr="005E37C9">
        <w:trPr>
          <w:trHeight w:val="255"/>
        </w:trPr>
        <w:tc>
          <w:tcPr>
            <w:tcW w:w="1812" w:type="dxa"/>
            <w:vMerge/>
            <w:shd w:val="clear" w:color="auto" w:fill="8EAADB" w:themeFill="accent1" w:themeFillTint="99"/>
          </w:tcPr>
          <w:p w:rsidR="005D43D5" w:rsidRPr="00E260D4" w:rsidRDefault="005D43D5" w:rsidP="005E37C9">
            <w:pPr>
              <w:jc w:val="center"/>
              <w:rPr>
                <w:rFonts w:ascii="Arial" w:hAnsi="Arial" w:cs="Arial"/>
                <w:lang w:val="en-US"/>
              </w:rPr>
            </w:pPr>
          </w:p>
        </w:tc>
        <w:tc>
          <w:tcPr>
            <w:tcW w:w="1812" w:type="dxa"/>
            <w:vMerge/>
            <w:shd w:val="clear" w:color="auto" w:fill="8EAADB" w:themeFill="accent1" w:themeFillTint="99"/>
          </w:tcPr>
          <w:p w:rsidR="005D43D5" w:rsidRPr="00E260D4" w:rsidRDefault="005D43D5" w:rsidP="005E37C9">
            <w:pPr>
              <w:jc w:val="center"/>
              <w:rPr>
                <w:rFonts w:ascii="Arial" w:hAnsi="Arial" w:cs="Arial"/>
                <w:lang w:val="en-US"/>
              </w:rPr>
            </w:pP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Presentation</w:t>
            </w: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20</w:t>
            </w: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p>
        </w:tc>
      </w:tr>
      <w:tr w:rsidR="005D43D5" w:rsidRPr="00E260D4" w:rsidTr="005E37C9">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2</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History &amp; Theories</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Brief Paper</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20</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March 24</w:t>
            </w:r>
          </w:p>
        </w:tc>
      </w:tr>
      <w:tr w:rsidR="005D43D5" w:rsidRPr="00E260D4" w:rsidTr="005E37C9">
        <w:tc>
          <w:tcPr>
            <w:tcW w:w="9060" w:type="dxa"/>
            <w:gridSpan w:val="5"/>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Spring Break</w:t>
            </w:r>
          </w:p>
        </w:tc>
      </w:tr>
      <w:tr w:rsidR="005D43D5" w:rsidRPr="00E260D4" w:rsidTr="005E37C9">
        <w:trPr>
          <w:trHeight w:val="128"/>
        </w:trPr>
        <w:tc>
          <w:tcPr>
            <w:tcW w:w="1812" w:type="dxa"/>
            <w:vMerge w:val="restart"/>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3</w:t>
            </w:r>
          </w:p>
        </w:tc>
        <w:tc>
          <w:tcPr>
            <w:tcW w:w="1812" w:type="dxa"/>
            <w:vMerge w:val="restart"/>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Distance Learners</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Discussion #1</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10</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April 7</w:t>
            </w:r>
          </w:p>
        </w:tc>
      </w:tr>
      <w:tr w:rsidR="005D43D5" w:rsidRPr="00E260D4" w:rsidTr="005E37C9">
        <w:trPr>
          <w:trHeight w:val="127"/>
        </w:trPr>
        <w:tc>
          <w:tcPr>
            <w:tcW w:w="1812" w:type="dxa"/>
            <w:vMerge/>
            <w:shd w:val="clear" w:color="auto" w:fill="8EAADB" w:themeFill="accent1" w:themeFillTint="99"/>
          </w:tcPr>
          <w:p w:rsidR="005D43D5" w:rsidRPr="00E260D4" w:rsidRDefault="005D43D5" w:rsidP="005E37C9">
            <w:pPr>
              <w:jc w:val="center"/>
              <w:rPr>
                <w:rFonts w:ascii="Arial" w:hAnsi="Arial" w:cs="Arial"/>
                <w:lang w:val="en-US"/>
              </w:rPr>
            </w:pPr>
          </w:p>
        </w:tc>
        <w:tc>
          <w:tcPr>
            <w:tcW w:w="1812" w:type="dxa"/>
            <w:vMerge/>
            <w:shd w:val="clear" w:color="auto" w:fill="8EAADB" w:themeFill="accent1" w:themeFillTint="99"/>
          </w:tcPr>
          <w:p w:rsidR="005D43D5" w:rsidRPr="00E260D4" w:rsidRDefault="005D43D5" w:rsidP="005E37C9">
            <w:pPr>
              <w:jc w:val="center"/>
              <w:rPr>
                <w:rFonts w:ascii="Arial" w:hAnsi="Arial" w:cs="Arial"/>
                <w:lang w:val="en-US"/>
              </w:rPr>
            </w:pP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Group Project</w:t>
            </w: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50</w:t>
            </w:r>
          </w:p>
        </w:tc>
        <w:tc>
          <w:tcPr>
            <w:tcW w:w="1812" w:type="dxa"/>
            <w:shd w:val="clear" w:color="auto" w:fill="B4C6E7" w:themeFill="accent1" w:themeFillTint="66"/>
          </w:tcPr>
          <w:p w:rsidR="005D43D5" w:rsidRPr="00E260D4" w:rsidRDefault="005D43D5" w:rsidP="005E37C9">
            <w:pPr>
              <w:jc w:val="center"/>
              <w:rPr>
                <w:rFonts w:ascii="Arial" w:hAnsi="Arial" w:cs="Arial"/>
                <w:lang w:val="en-US"/>
              </w:rPr>
            </w:pPr>
            <w:r w:rsidRPr="00E260D4">
              <w:rPr>
                <w:rFonts w:ascii="Arial" w:hAnsi="Arial" w:cs="Arial"/>
                <w:lang w:val="en-US"/>
              </w:rPr>
              <w:t>April 14</w:t>
            </w:r>
          </w:p>
        </w:tc>
      </w:tr>
      <w:tr w:rsidR="005D43D5" w:rsidRPr="00E260D4" w:rsidTr="005E37C9">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4</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Media Selection</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Blog #1</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10</w:t>
            </w:r>
          </w:p>
        </w:tc>
        <w:tc>
          <w:tcPr>
            <w:tcW w:w="1812" w:type="dxa"/>
            <w:shd w:val="clear" w:color="auto" w:fill="8EAADB" w:themeFill="accent1" w:themeFillTint="99"/>
          </w:tcPr>
          <w:p w:rsidR="005D43D5" w:rsidRPr="00E260D4" w:rsidRDefault="005D43D5" w:rsidP="005E37C9">
            <w:pPr>
              <w:jc w:val="center"/>
              <w:rPr>
                <w:rFonts w:ascii="Arial" w:hAnsi="Arial" w:cs="Arial"/>
                <w:lang w:val="en-US"/>
              </w:rPr>
            </w:pPr>
            <w:r w:rsidRPr="00E260D4">
              <w:rPr>
                <w:rFonts w:ascii="Arial" w:hAnsi="Arial" w:cs="Arial"/>
                <w:lang w:val="en-US"/>
              </w:rPr>
              <w:t>April 21</w:t>
            </w:r>
          </w:p>
        </w:tc>
      </w:tr>
    </w:tbl>
    <w:p w:rsidR="005D43D5" w:rsidRDefault="005D43D5" w:rsidP="005D43D5">
      <w:pPr>
        <w:spacing w:line="312" w:lineRule="auto"/>
        <w:rPr>
          <w:rFonts w:ascii="Times New Roman" w:hAnsi="Times New Roman" w:cs="Times New Roman"/>
          <w:lang w:val="en-US"/>
        </w:rPr>
        <w:sectPr w:rsidR="005D43D5" w:rsidSect="00132FE2">
          <w:pgSz w:w="11906" w:h="16838"/>
          <w:pgMar w:top="1418" w:right="1418" w:bottom="1418" w:left="1418" w:header="709" w:footer="709" w:gutter="0"/>
          <w:cols w:space="708"/>
          <w:titlePg/>
          <w:docGrid w:linePitch="360"/>
        </w:sectPr>
      </w:pPr>
    </w:p>
    <w:p w:rsidR="005D43D5" w:rsidRPr="00732375" w:rsidRDefault="005D43D5" w:rsidP="005D43D5">
      <w:pPr>
        <w:spacing w:after="380" w:line="312" w:lineRule="auto"/>
        <w:jc w:val="center"/>
        <w:rPr>
          <w:rFonts w:ascii="Arial" w:hAnsi="Arial" w:cs="Arial"/>
          <w:color w:val="FF0000"/>
          <w:sz w:val="34"/>
          <w:szCs w:val="34"/>
          <w:lang w:val="en-US"/>
        </w:rPr>
      </w:pPr>
      <w:r w:rsidRPr="00732375">
        <w:rPr>
          <w:rFonts w:ascii="Arial" w:hAnsi="Arial" w:cs="Arial"/>
          <w:color w:val="FF0000"/>
          <w:sz w:val="34"/>
          <w:szCs w:val="34"/>
          <w:lang w:val="en-US"/>
        </w:rPr>
        <w:lastRenderedPageBreak/>
        <w:t>4.Fertilisation in plants</w:t>
      </w:r>
    </w:p>
    <w:p w:rsidR="005D43D5" w:rsidRPr="005F7248" w:rsidRDefault="005D43D5" w:rsidP="005D43D5">
      <w:pPr>
        <w:spacing w:after="240" w:line="312" w:lineRule="auto"/>
        <w:ind w:firstLine="720"/>
        <w:rPr>
          <w:rFonts w:ascii="Times New Roman" w:hAnsi="Times New Roman" w:cs="Times New Roman"/>
          <w:lang w:val="en-US"/>
        </w:rPr>
      </w:pPr>
      <w:r>
        <w:rPr>
          <w:rFonts w:ascii="Times New Roman" w:hAnsi="Times New Roman" w:cs="Times New Roman"/>
          <w:noProof/>
          <w:lang w:eastAsia="el-GR"/>
        </w:rPr>
        <w:drawing>
          <wp:anchor distT="0" distB="0" distL="114300" distR="114300" simplePos="0" relativeHeight="251659264" behindDoc="1" locked="0" layoutInCell="1" allowOverlap="1">
            <wp:simplePos x="0" y="0"/>
            <wp:positionH relativeFrom="column">
              <wp:posOffset>4445</wp:posOffset>
            </wp:positionH>
            <wp:positionV relativeFrom="paragraph">
              <wp:posOffset>2540</wp:posOffset>
            </wp:positionV>
            <wp:extent cx="2879725" cy="2069465"/>
            <wp:effectExtent l="0" t="0" r="0" b="6985"/>
            <wp:wrapTight wrapText="bothSides">
              <wp:wrapPolygon edited="0">
                <wp:start x="7573" y="0"/>
                <wp:lineTo x="0" y="2187"/>
                <wp:lineTo x="0" y="7556"/>
                <wp:lineTo x="572" y="15907"/>
                <wp:lineTo x="572" y="18889"/>
                <wp:lineTo x="1000" y="19088"/>
                <wp:lineTo x="5430" y="19088"/>
                <wp:lineTo x="8573" y="21474"/>
                <wp:lineTo x="13717" y="21474"/>
                <wp:lineTo x="13860" y="21474"/>
                <wp:lineTo x="14718" y="19088"/>
                <wp:lineTo x="15432" y="19088"/>
                <wp:lineTo x="18147" y="16503"/>
                <wp:lineTo x="18147" y="15907"/>
                <wp:lineTo x="18861" y="12924"/>
                <wp:lineTo x="18861" y="12725"/>
                <wp:lineTo x="21433" y="10141"/>
                <wp:lineTo x="21433" y="6363"/>
                <wp:lineTo x="17004" y="3181"/>
                <wp:lineTo x="17147" y="2187"/>
                <wp:lineTo x="14718" y="199"/>
                <wp:lineTo x="12860" y="0"/>
                <wp:lineTo x="7573"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fecycle_apple.gif"/>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79725" cy="2069465"/>
                    </a:xfrm>
                    <a:prstGeom prst="rect">
                      <a:avLst/>
                    </a:prstGeom>
                  </pic:spPr>
                </pic:pic>
              </a:graphicData>
            </a:graphic>
          </wp:anchor>
        </w:drawing>
      </w:r>
      <w:r w:rsidRPr="005F7248">
        <w:rPr>
          <w:rFonts w:ascii="Times New Roman" w:hAnsi="Times New Roman" w:cs="Times New Roman"/>
          <w:lang w:val="en-US"/>
        </w:rPr>
        <w:t>In the Bryophyte land plants, fertilisation takes place within the archegonium. This moss has been genetically modified so that the unfertilised egg within the archegonium produces a blue colour.The gametes that participate in fertilisation of plants are the pollen (male), and the egg cell, and in flowering plants a second fertilisation event involves another sperm cell and the central cell which is a second female gamete. In flowering plants there are two sperm from each pollen grain.In seed plants, after pollination, a pollen grain germinates, and a pollen tube grows and penetrates the ovule through a tiny pore called a micropyle. The sperm are transferred from the pollen through the pollen tube.</w:t>
      </w:r>
    </w:p>
    <w:p w:rsidR="005D43D5" w:rsidRPr="00732375" w:rsidRDefault="005D43D5" w:rsidP="005D43D5">
      <w:pPr>
        <w:spacing w:after="240" w:line="312" w:lineRule="auto"/>
        <w:rPr>
          <w:rFonts w:ascii="Arial" w:hAnsi="Arial" w:cs="Arial"/>
          <w:b/>
          <w:u w:val="single"/>
          <w:lang w:val="en-US"/>
        </w:rPr>
      </w:pPr>
      <w:r w:rsidRPr="00732375">
        <w:rPr>
          <w:rFonts w:ascii="Arial" w:hAnsi="Arial" w:cs="Arial"/>
          <w:b/>
          <w:u w:val="single"/>
          <w:lang w:val="en-US"/>
        </w:rPr>
        <w:t>Bryophytes</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Bryophyte is a traditional name used to refer to all embryophytes (land plants) that do not have true vascular tissue and are therefore called "non-vascular plants". Some bryophytes do have specialised tissues for the transport of water; however, since these do not contain lignin, they are not considered true vascular tissue.</w:t>
      </w:r>
    </w:p>
    <w:p w:rsidR="005D43D5" w:rsidRPr="00732375" w:rsidRDefault="005D43D5" w:rsidP="005D43D5">
      <w:pPr>
        <w:spacing w:after="240" w:line="312" w:lineRule="auto"/>
        <w:rPr>
          <w:rFonts w:ascii="Arial" w:hAnsi="Arial" w:cs="Arial"/>
          <w:b/>
          <w:u w:val="single"/>
          <w:lang w:val="en-US"/>
        </w:rPr>
      </w:pPr>
      <w:r w:rsidRPr="00732375">
        <w:rPr>
          <w:rFonts w:ascii="Arial" w:hAnsi="Arial" w:cs="Arial"/>
          <w:b/>
          <w:u w:val="single"/>
          <w:lang w:val="en-US"/>
        </w:rPr>
        <w:t>Ferns</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A fern is a member of a group of roughly 12,000 species of vascular plants that reproduce via spores and have neither seeds nor flowers. They differ from mosses by being vascular (i.e. having water-conducting vessels). They have stems and leaves, like other vascular plants. Most ferns have what are called fiddleheads that expand into fronds, which are each delicately divided.</w:t>
      </w:r>
    </w:p>
    <w:p w:rsidR="005D43D5" w:rsidRPr="00732375" w:rsidRDefault="005D43D5" w:rsidP="005D43D5">
      <w:pPr>
        <w:spacing w:after="240" w:line="312" w:lineRule="auto"/>
        <w:rPr>
          <w:rFonts w:ascii="Arial" w:hAnsi="Arial" w:cs="Arial"/>
          <w:b/>
          <w:u w:val="single"/>
          <w:lang w:val="en-US"/>
        </w:rPr>
      </w:pPr>
      <w:r w:rsidRPr="00732375">
        <w:rPr>
          <w:rFonts w:ascii="Arial" w:hAnsi="Arial" w:cs="Arial"/>
          <w:b/>
          <w:u w:val="single"/>
          <w:lang w:val="en-US"/>
        </w:rPr>
        <w:t>Gymnosperms</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The gymnosperms are a group of seed producing plants that includes conifers, Cycads, Ginkgo, and Gnetales. The term "gymnosperm" comes from the Greek composite word γυμνόσπερμος (γυμνόςgymnos, "naked" and σπέρμα sperma, "seed"), meaning "naked seeds", after the unenclosed condition of their seeds (called ovules in their unfertilised state). Their naked condition stands in contrast to the seeds and ovules of flowering plants (angiosperms), which are enclosed within an ovary. Gymnosperm seeds develop either on the surface of scales or leaves, often modified to form cones, or at the end of short stalks as in Ginkgo.</w:t>
      </w:r>
    </w:p>
    <w:p w:rsidR="005D43D5" w:rsidRPr="00732375" w:rsidRDefault="005D43D5" w:rsidP="005D43D5">
      <w:pPr>
        <w:spacing w:after="240" w:line="312" w:lineRule="auto"/>
        <w:rPr>
          <w:rFonts w:ascii="Arial" w:hAnsi="Arial" w:cs="Arial"/>
          <w:b/>
          <w:u w:val="single"/>
          <w:lang w:val="en-US"/>
        </w:rPr>
      </w:pPr>
      <w:r w:rsidRPr="00732375">
        <w:rPr>
          <w:rFonts w:ascii="Arial" w:hAnsi="Arial" w:cs="Arial"/>
          <w:b/>
          <w:u w:val="single"/>
          <w:lang w:val="en-US"/>
        </w:rPr>
        <w:t>Flowering plants</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The pollen tube does not directly reach the ovary in a straight line. It travels near the skin of the style and curls to the bottom of the ovary, then near the receptacle, it breaks through the ovule through the micropyle (an opening in the ovule wall) and the pollen tube "bursts" into the embryo sac.</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lastRenderedPageBreak/>
        <w:t>After being fertilised, the ovary starts to swell and develop into the fruit.[4] With multi-seeded fruits, multiple grains of pollen are necessary for syngamy with each ovule. The growth of the pollen tube is controlled by the vegetative (or tube) cytoplasm. Hydrolytic enzymes are secreted by the pollen tube that digest the female tissue as the tube grows down the stigma and style; the digested tissue is used as a nutrient source for the pollen tube as it grows. During pollen tube growth towards the ovary, the generative nucleus divides to produce two separate sperm nuclei (haploid number of chromosomes)[5] – a growing pollen tube therefore contains three separate nuclei, two sperm and one tube.[6] The sperms are interconnected and dimorphic, the large one, in a number of plants, is also linked to the tube nucleus and the interconnected sperm and the tube nucleus form the "male germ unit".</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Double fertilisation is the process in angiosperms (flowering plants) in which two sperm from each pollen tube fertilise two cells in a female gametophyte (sometimes called an embryo sac) that is inside an ovule. After the pollen tube enters the gametophyte, the pollen tube nucleus disintegrates and the two sperm cells are released; one of the two sperm cells fertilises the egg cell (at the bottom of the gametophyte near the micropyle), forming a diploid (2n) zygote. This is the point when fertilisationactually occurs; pollination and fertilisation are two separate processes. The nucleus of the other sperm cell fuses with two haploid polar nuclei (contained in the central cell) in the centre of the gametophyte. The resulting cell is triploid (3n). This triploid cell divides through mitosis and forms the endosperm, a nutrient-rich tissue, inside the seed.</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The two central-cell maternal nuclei (polar nuclei) that contribute to the endosperm arise by mitosis from the single meiotic product that also gave rise to the egg. Therefore, maternal contribution to the genetic constitution of the triploid endosperm is double that of the embryo.</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One primitive species of flowering plant, Nupharpolysepala, has endosperm that is diploid, resulting from the fusion of a sperm with one, rather than two, maternal nuclei. It is believed that early in the development of angiosperm linages, there was a duplication in this mode of reproduction, producing seven-celled/eight-nucleate female gametophytes, and triploid endosperms with a 2:1 maternal to paternal genome ratio.</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In many plants, the development of the flesh of the fruit is proportional to the percentage of fertilised ovules. For example, with watermelon, about a thousand grains of pollen must be delivered and spread evenly on the three lobes of the stigma to make a normal sized and shaped fruit.</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Cross-fertilisation and self-fertilisation represent different strategies with differing benefits and costs. An estimated 48.7% of plant species are either dioecious or self-incompatible obligate out-crossers. It is also estimated that about 42% of flowering plants exhibit a mixed mating system in nature.</w:t>
      </w:r>
    </w:p>
    <w:p w:rsidR="005D43D5" w:rsidRPr="005F7248"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 xml:space="preserve">In the most common kind of mixed mating system, individual plants produce a single type of flower and fruits may contain self-fertilised, out-crossed or a mixture of progeny types. The transition from cross-fertilisation to self-fertilisation is the most common evolutionary transition in plants and </w:t>
      </w:r>
      <w:r w:rsidRPr="005F7248">
        <w:rPr>
          <w:rFonts w:ascii="Times New Roman" w:hAnsi="Times New Roman" w:cs="Times New Roman"/>
          <w:lang w:val="en-US"/>
        </w:rPr>
        <w:lastRenderedPageBreak/>
        <w:t>has occurred repeatedly in many independent lineages. About 10-15% of flowering plants are predominantly self-fertilising.</w:t>
      </w:r>
    </w:p>
    <w:p w:rsidR="005D43D5" w:rsidRPr="00732375" w:rsidRDefault="005D43D5" w:rsidP="005D43D5">
      <w:pPr>
        <w:spacing w:after="240" w:line="312" w:lineRule="auto"/>
        <w:rPr>
          <w:rFonts w:ascii="Arial" w:hAnsi="Arial" w:cs="Arial"/>
          <w:b/>
          <w:u w:val="single"/>
          <w:lang w:val="en-US"/>
        </w:rPr>
      </w:pPr>
      <w:r w:rsidRPr="00732375">
        <w:rPr>
          <w:rFonts w:ascii="Arial" w:hAnsi="Arial" w:cs="Arial"/>
          <w:b/>
          <w:u w:val="single"/>
          <w:lang w:val="en-US"/>
        </w:rPr>
        <w:t>Self-Pollination</w:t>
      </w:r>
    </w:p>
    <w:p w:rsidR="005D43D5" w:rsidRDefault="005D43D5" w:rsidP="005D43D5">
      <w:pPr>
        <w:spacing w:after="240" w:line="312" w:lineRule="auto"/>
        <w:ind w:firstLine="709"/>
        <w:rPr>
          <w:rFonts w:ascii="Times New Roman" w:hAnsi="Times New Roman" w:cs="Times New Roman"/>
          <w:lang w:val="en-US"/>
        </w:rPr>
      </w:pPr>
      <w:r w:rsidRPr="005F7248">
        <w:rPr>
          <w:rFonts w:ascii="Times New Roman" w:hAnsi="Times New Roman" w:cs="Times New Roman"/>
          <w:lang w:val="en-US"/>
        </w:rPr>
        <w:t>Under circumstances where pollinators and/or mates are rare, self-fertilisation offers the advantage of reproductive assurance. Self-fertilisation can therefore result in improved colonisation ability. In some species, self-fertilisation has persisted over many generations. Capsella rubella is a self-fertilisating species that became self-compatible 50,000 to 100,000 years ago.[12] Arabidopsis thaliana is a predominantly self-fertilising plant with an out-crossing rate in the wild of less than 0.3%;[13] a study suggested that self-fertilisation evolved roughly a million years ago or more in A. thaliana.[14] In long-established self-fertilising plants, the masking of deleterious mutations and the production of genetic variability is infrequent and thus unlikely to provide a sufficient benefit over many generations to maintain the meiotic apparatus. Consequently, one might expect self-fertilisation to be replaced in nature by an ameiotic asexual form of reproduction that would be less costly. However the actual persistence of meiosis and self-fertilisation as a form of reproduction in long-established self-fertilising plants may be related to the immediate benefit of efficient recombinational repair of DNA damage during formation of germ cells provided by meiosis at each generation</w:t>
      </w:r>
      <w:r>
        <w:rPr>
          <w:rFonts w:ascii="Times New Roman" w:hAnsi="Times New Roman" w:cs="Times New Roman"/>
          <w:lang w:val="en-US"/>
        </w:rPr>
        <w:t>.</w:t>
      </w:r>
    </w:p>
    <w:p w:rsidR="005D43D5" w:rsidRDefault="005D43D5" w:rsidP="005D43D5">
      <w:pPr>
        <w:spacing w:line="312" w:lineRule="auto"/>
        <w:rPr>
          <w:rFonts w:ascii="Times New Roman" w:hAnsi="Times New Roman" w:cs="Times New Roman"/>
          <w:lang w:val="en-US"/>
        </w:rPr>
        <w:sectPr w:rsidR="005D43D5" w:rsidSect="00132FE2">
          <w:pgSz w:w="11906" w:h="16838"/>
          <w:pgMar w:top="1418" w:right="1418" w:bottom="1418" w:left="1418" w:header="709" w:footer="709" w:gutter="0"/>
          <w:cols w:space="708"/>
          <w:titlePg/>
          <w:docGrid w:linePitch="360"/>
        </w:sectPr>
      </w:pPr>
    </w:p>
    <w:p w:rsidR="005D43D5" w:rsidRPr="00650ACC" w:rsidRDefault="005D43D5" w:rsidP="005D43D5">
      <w:pPr>
        <w:spacing w:after="380" w:line="312" w:lineRule="auto"/>
        <w:jc w:val="center"/>
        <w:rPr>
          <w:rFonts w:ascii="Arial" w:hAnsi="Arial" w:cs="Arial"/>
          <w:color w:val="FF0000"/>
          <w:sz w:val="34"/>
          <w:szCs w:val="34"/>
          <w:lang w:val="en-US"/>
        </w:rPr>
      </w:pPr>
      <w:r w:rsidRPr="00650ACC">
        <w:rPr>
          <w:rFonts w:ascii="Arial" w:hAnsi="Arial" w:cs="Arial"/>
          <w:color w:val="FF0000"/>
          <w:sz w:val="34"/>
          <w:szCs w:val="34"/>
          <w:lang w:val="en-US"/>
        </w:rPr>
        <w:lastRenderedPageBreak/>
        <w:t>5.Ozone depletion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Ozone depletion describes two related phenomena observed since the late 1970s: a steady decline of about four percent in the total amount of ozone in Earth's stratosphere (the ozone layer), and a much larger springtime decrease in stratospheric ozone around Earth's polar regions. The latter phenomenon is referred to as the ozone hole. There are also springtime polar tropospheric ozone depletion events in addition to these stratospheric phenomena.</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main cause of ozone depletion and the ozone hole is man-made chemicals, especially man-made halocarbon refrigerants, solvents, propellants, and foam-blowing agents (chlorofluorocarbon (CFCs), HCFCs, halons), referred to as ozone-depleting substances (ODS). These compounds are transported into the stratosphere by the winds after being emitted at the surface. Once in the stratosphere, they release halogen atoms through photodissociation, which catalyze the breakdown of ozone (O3) into oxygen (O2). Both types of ozone depletion were observed to increase as emissions of halocarbons increased.</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Ozone depletion and the ozone hole have generated worldwide concern over increased cancer risks and other negative effects. The ozone layer prevents most harmful UVB wavelengths of ultraviolet light (UV light) from passing through the Earth's atmosphere. These wavelengths cause skin cancer, sunburn, and cataracts, which were projected to increase dramatically as a result of thinning ozone, as well as harming plants and animals. These concerns led to the adoption of the Montreal Protocol in 1987, which bans the production of CFCs, halons, and other ozone-depleting chemicals.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ban came into effect in 1989. Ozone levels stabilized by the mid-1990s and began to recover in the 2000s. Recovery is projected to continue over the next century, and the ozone hole is expected to reach pre-1980 levels by around 2075. The Montreal Protocol is considered the most successful international environmental agreement to date.</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Ozone cycle overview</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Three forms (or allotropes) of oxygen are involved in the ozone-oxygen cycle: oxygen atoms (O or atomic oxygen), oxygen gas (O2 or diatomic oxygen), and ozone gas (O3 or triatomic oxygen). Ozone is formed in the stratosphere when oxygen molecules photodissociate after intaking ultraviolet photons. This converts a single O2 into two atomic oxygen radicals. The atomic oxygen radicals then combine with separate O2 molecules to create two O3 molecules. These ozone molecules absorb ultraviolet (UV) light, following which ozone splits into a molecule of O2 and an oxygen atom. The oxygen atom then joins up with an oxygen molecule to regenerate ozone. This is a continuing process that terminates when an oxygen atom recombines with an ozone molecule to make two O2 molecules.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total amount of ozone in the stratosphere is determined by a balance between photochemical production and recombination.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lastRenderedPageBreak/>
        <w:t>Ozone can be destroyed by a number of free radical catalysts; the most important are the hydroxyl radical (OH·), nitric oxide radical (NO·), chlorine radical (Cl·) and bromine radical (Br·). The dot is a notation to indicate that each species has an unpaired electron and is thus extremely reactive. All of these have both natural and man-made sources; at the present time, most of the OH· and NO· in the stratosphere is naturally occurring, but human activity has drastically increased the levels of chlorine and bromine. These elements are found in stable organic compounds, especially chlorofluorocarbons, which can travel to the stratosphere without being destroyed in the troposphere due to their low reactivity. Once in the stratosphere, the Cl and Br atoms are released from the parent compounds by the action of ultraviolet light, e.g.</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 xml:space="preserve">Ozone is a highly reactive molecule that easily reduces to the more stable oxygen form with the assistance of a catalyst. Cl and Br atoms destroy ozone molecules through a variety of catalytic cycles. In the simplest example of such a cycle, a chlorine atom reacts with an ozone molecule (O3), taking an oxygen atom to form chlorine monoxide (ClO) and leaving an oxygen molecule (O2). The ClO can react with a second molecule of ozone, releasing the chlorine atom and yielding two molecules of oxygen. </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overall effect is a decrease in the amount of ozone, though the rate of these processes can be decreased by the effects of null cycles. More complicated mechanisms have also been discovered that lead to ozone destruction in the lower stratosphere.</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The ozone cycle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 single chlorine atom would continuously destroy ozone (thus a catalyst) for up to two years (the time scale for transport back down to the troposphere) were it not for reactions that remove them from this cycle by forming reservoir species such as hydrogen chloride (HCl) and chlorine nitrate (ClONO2). Bromine is even more efficient than chlorine at destroying ozone on a per atom basis, but there is much less bromine in the atmosphere at present. Both chlorine and bromine contribute significantly to overall ozone depletion. Laboratory studies have also shown that fluorine and iodine atoms participate in analogous catalytic cycles. However, fluorine atoms react rapidly with water and methane to form strongly bound HF in the Earth's stratosphere, while organic molecules containing iodine react so rapidly in the lower atmosphere that they do not reach the stratosphere in significant quantities.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 single chlorine atom is able to react with an average of 100,000 ozone molecules before it is removed from the catalytic cycle. This fact plus the amount of chlorine released into the atmosphere yearly by chlorofluorocarbons (CFCs) and hydrochlorofluorocarbons (HCFCs) demonstrates the danger of CFCs and HCFCs to the environment.</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Observations on ozone layer depletion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 xml:space="preserve">The ozone hole is usually measured by reduction in the total column ozone above a point on the Earth's surface. This is normally expressed in Dobson units; abbreviated as "DU". The most prominent decrease in ozone has been in the lower stratosphere. Marked decreases in column ozone in </w:t>
      </w:r>
      <w:r w:rsidRPr="00650ACC">
        <w:rPr>
          <w:rFonts w:ascii="Times New Roman" w:hAnsi="Times New Roman" w:cs="Times New Roman"/>
          <w:lang w:val="en-US"/>
        </w:rPr>
        <w:lastRenderedPageBreak/>
        <w:t>the Antarctic spring and early summer compared to the early 1970s and before have been observed using instruments such as the Total Ozone Mapping Spectrometer (TOMS).[8]</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Reductions of up to 70 percent in the ozone column observed in the austral (southern hemispheric) spring over Antarctica and first reported in 1985 (Farman et al.) are continuing. Antarctic total column ozone in September and October have continued to be 40–50 percent lower than pre-ozone-hole values since the 1990s. A gradual trend toward "healing" was reported in 2016. In 2017, NASA announced that the ozone hole was the weakest since 1988 because of warm stratospheric conditions. It is expected to recover around 2070.</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amount lost is more variable year-to-year in the Arctic than in the Antarctic. The greatest Arctic declines are in the winter and spring, reaching up to 30 percent when the stratosphere is coldest.</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Reactions that take place on polar stratospheric clouds (PSCs) play an important role in enhancing ozone depletion. PSCs form more readily in the extreme cold of the Arctic and Antarctic stratosphere. This is why ozone holes first formed, and are deeper, over Antarctica. Early models failed to take PSCs into account and predicted a gradual global depletion, which is why the sudden Antarctic ozone hole was such a surprise to many scientists.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It is more accurate to speak of ozone depletion in middle latitudes rather than holes. Total column ozone declined below pre-1980 values between 1980 and 1996 for mid-latitudes. In the northern mid-latitudes, it then increased from the minimum value by about two percent from 1996 to 2009 as regulations took effect and the amount of chlorine in the stratosphere decreased. In the Southern Hemisphere's mid-latitudes, total ozone remained constant over that time period. There are no significant trends in the tropics, largely because halogen-containing compounds have not had time to break down and release chlorine and bromine atoms at tropical latitudes.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Large volcanic eruptions have been shown to have substantial albeit uneven ozone-depleting effects, as observed with the 1991 eruption of Mt. Pinotubo in the Philippines.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Ozone depletion also explains much of the observed reduction in stratospheric and upper tropospheric temperatures. The source of the warmth of the stratosphere is the absorption of UV radiation by ozone, hence reduced ozone leads to cooling. Some stratospheric cooling is also predicted from increases in greenhouse gases such as CO2 and CFCs themselves; however, the ozone-induced cooling appears to be dominant.</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Predictions of ozone levels remain difficult, but the precision of models' predictions of observed values and the agreement among different modeling techniques have increased steadily. The World Meteorological Organization Global Ozone Research and Monitoring Project—Report No. 44 comes out strongly in favor of the Montreal Protocol, but notes that a UNEP 1994 Assessment overestimated ozone loss for the 1994–1997 period.</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Chemicals in the atmosphere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lastRenderedPageBreak/>
        <w:t>Chlorofluorocarbons (CFCs) and other halogenated ozone depleting substances (ODS) are mainly responsible for man-made chemical ozone depletion. The total amount of effective halogens (chlorine and bromine) in the stratosphere can be calculated and are known as the equivalent effective stratospheric chlorine (EESC).</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CFCs were invented by Thomas Midgley, Jr. in the 1920s. They were used in air conditioning and cooling units, as aerosol spray propellants prior to the 1970s, and in the cleaning processes of delicate electronic equipment. They also occur as by-products of some chemical processes. No significant natural sources have ever been identified for these compounds—their presence in the atmosphere is due almost entirely to human manufacture. As mentioned above, when such ozone-depleting chemicals reach the stratosphere, they are dissociated by ultraviolet light to release chlorine atoms. The chlorine atoms act as a catalyst, and each can break down tens of thousands of ozone molecules before being removed from the stratosphere. Given the longevity of CFC molecules, recovery times are measured in decades. It is calculated that a CFC molecule takes an average of about five to seven years to go from the ground level up to the upper atmosphere, and it can stay there for about a century, destroying up to one hundred thousand ozone molecules during that time.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1,1,1-Trichloro-2,2,2-trifluoroethane, also known as CFC-113a, is one of four man-made chemicals newly discovered in the atmosphere by a team at the University of East Anglia. CFC-113a is the only known CFC whose abundance in the atmosphere is still growing. Its source remains a mystery, but illegal manufacturing is suspected by some. CFC-113a seems to have been accumulating unabated since 1960. Between 2010 and 2012, emissions of the gas jumped by 45 percent</w:t>
      </w:r>
      <w:r>
        <w:rPr>
          <w:rFonts w:ascii="Times New Roman" w:hAnsi="Times New Roman" w:cs="Times New Roman"/>
          <w:lang w:val="en-US"/>
        </w:rPr>
        <w:t>.</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Ozone hole and its causes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Antarctic ozone hole is an area of the Antarctic stratosphere in which the recent ozone levels have dropped to as low as 33 percent of their pre-1975 values. The ozone hole occurs during the Antarctic spring, from September to early December, as strong westerly winds start to circulate around the continent and create an atmospheric container. Within this polar vortex, over 50 percent of the lower stratospheric ozone is destroyed during the Antarctic spring.</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As explained above, the primary cause of ozone depletion is the presence of chlorine-containing source gases (primarily CFCs and related halocarbons). In the presence of UV light, these gases dissociate, releasing chlorine atoms, which then go on to catalyze ozone destruction. The Cl-catalyzed ozone depletion can take place in the gas phase, but it is dramatically enhanced in the presence of polar stratospheric clouds (PSCs).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These polar stratospheric clouds (PSC) form during winter, in the extreme cold. Polar winters are dark, consisting of 3 months without solar radiation (sunlight). The lack of sunlight contributes to a decrease in temperature and the polar vortex traps and chills air. Temperatures hover around or below −80 °C. These low temperatures form cloud particles. There are three types of PSC clouds—nitric acid trihydrate clouds, slowly cooling water-ice clouds, and rapid cooling water-ice (nacerous) clouds—provide surfaces for chemical reactions whose products will, in the spring lead to ozone destruction.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lastRenderedPageBreak/>
        <w:t>The photochemical processes involved are complex but well understood. The key observation is that, ordinarily, most of the chlorine in the stratosphere resides in "reservoir" compounds, primarily chlorine nitrate (ClONO2) as well as stable end products such as HCl. The formation of end products essentially remove Cl from the ozone depletion process. The former sequester Cl, which can be later made available via absorption of light at shorter wavelengths than 400 nm.[26] During the Antarctic winter and spring, however, reactions on the surface of the polar stratospheric cloud particles convert these "reservoir" compounds into reactive free radicals (Cl and ClO). The process by which the clouds remove NO2 from the stratosphere by converting it to nitric acid in the PSC particles, which then are lost by sedimentation is called denitrification. This prevents newly formed ClO from being converted back into ClONO2.</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role of sunlight in ozone depletion is the reason why the Antarctic ozone depletion is greatest during spring. During winter, even though PSCs are at their most abundant, there is no light over the pole to drive chemical reactions. During the spring, however, the sun comes out, providing energy to drive photochemical reactions and melt the polar stratospheric clouds, releasing considerable ClO, which drives the hole mechanism. Further warming temperatures near the end of spring break up the vortex around mid-December. As warm, ozone and NO2-rich air flows in from lower latitudes, the PSCs are destroyed, the enhanced ozone depletion process shuts down, and the ozone hole closes.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Most of the ozone that is destroyed is in the lower stratosphere, in contrast to the much smaller ozone depletion through homogeneous gas phase reactions, which occurs primarily in the upper stratosphere.</w:t>
      </w:r>
    </w:p>
    <w:p w:rsidR="005D43D5" w:rsidRPr="00C8738A" w:rsidRDefault="005D43D5" w:rsidP="005D43D5">
      <w:pPr>
        <w:spacing w:after="240" w:line="312" w:lineRule="auto"/>
        <w:rPr>
          <w:rFonts w:ascii="Arial" w:hAnsi="Arial" w:cs="Arial"/>
          <w:b/>
          <w:u w:val="single"/>
          <w:lang w:val="en-US"/>
        </w:rPr>
      </w:pPr>
      <w:r w:rsidRPr="00C8738A">
        <w:rPr>
          <w:rFonts w:ascii="Arial" w:hAnsi="Arial" w:cs="Arial"/>
          <w:b/>
          <w:u w:val="single"/>
          <w:lang w:val="en-US"/>
        </w:rPr>
        <w:t>Interest in ozone layer depletion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Public misconceptions and misunderstandings of complex issues like the ozone depletion are common. The limited scientific knowledge of the public led to a confusion with global warming or the perception of global warming as a subset of the "ozone hole". In the beginning, classical green NGOs refrained from using CFC depletion for campaigning, as they assumed the topic was too complicated. They became active much later, e.g. in Greenpeace's support for a CFC-free fridge produced by the former East German company VEB dkkScharfenstein</w:t>
      </w:r>
      <w:r>
        <w:rPr>
          <w:rFonts w:ascii="Times New Roman" w:hAnsi="Times New Roman" w:cs="Times New Roman"/>
          <w:lang w:val="en-US"/>
        </w:rPr>
        <w:t>.</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metaphors used in the CFC discussion (ozone shield, ozone hole) are not "exact" in the scientific sense. The "ozone hole" is more of a depression, less "a hole in the windshield". The ozone does not disappear through the layer, nor is there a uniform "thinning" of the ozone layer. However they resonated better with non-scientists and their concerns. The ozone hole was seen as a "hot issue" and imminent risk as lay people feared severe personal consequences such as skin cancer, cataracts, damage to plants, and reduction of plankton populations in the ocean's photic zone. Not only on the policy level, ozone regulation compared to climate change fared much better in public opinion. Americans voluntarily switched away from aerosol sprays before legislation was enforced, while climate change failed to achieve comparable concern and public action. The sudden recognition in 1985 that there was a substantial "hole" was widely reported in the press. The especially rapid ozone depletion in Antarctica had previously been dismissed as a measurement error. Scientific consensus was established after regulation.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lastRenderedPageBreak/>
        <w:t>While the Antarctic ozone hole has a relatively small effect on global ozone, the hole has generated a great deal of public interest because: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Many have worried that ozone holes might start appearing over other areas of the globe, though to date the only other large-scale depletion is a smaller ozone "dimple" observed during the Arctic spring around the North Pole. Ozone at middle latitudes has declined, but by a much smaller extent (about 4–5 percent decrease).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If stratospheric conditions become more severe (cooler temperatures, more clouds, more active chlorine), global ozone may decrease at a greater pace. Standard global warming theory predicts that the stratosphere will cool.</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When the Antarctic ozone hole breaks up each year, the ozone-depleted air drifts out into nearby regions. Decreases in the ozone level of up to 10 percent have been reported in New Zealand in the month following the breakup of the Antarctic ozone hole, with ultraviolet-B radiation intensities increasing by more than 15 percent since the 1970s.</w:t>
      </w:r>
    </w:p>
    <w:p w:rsidR="005D43D5" w:rsidRPr="003E2198" w:rsidRDefault="005D43D5" w:rsidP="005D43D5">
      <w:pPr>
        <w:spacing w:after="240" w:line="312" w:lineRule="auto"/>
        <w:rPr>
          <w:rFonts w:ascii="Arial" w:hAnsi="Arial" w:cs="Arial"/>
          <w:b/>
          <w:u w:val="single"/>
          <w:lang w:val="en-US"/>
        </w:rPr>
      </w:pPr>
      <w:r w:rsidRPr="003E2198">
        <w:rPr>
          <w:rFonts w:ascii="Arial" w:hAnsi="Arial" w:cs="Arial"/>
          <w:b/>
          <w:u w:val="single"/>
          <w:lang w:val="en-US"/>
        </w:rPr>
        <w:t>Consequences of ozone layer depletion</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Since the ozone layer absorbs UVB ultraviolet light from the sun, ozone layer depletion increases surface UVB levels (all else equal), which could lead to damage, including increase in skin cancer. This was the reason for the Montreal Protocol. Although decreases in stratospheric ozone are well-tied to CFCs and to increases in surface UVB, there is no direct observational evidence linking ozone depletion to higher incidence of skin cancer and eye damage in human beings. This is partly because UVA, which has also been implicated in some forms of skin cancer, is not absorbed by ozone, and because it is nearly impossible to control statistics for lifestyle changes over time.</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Increased UV</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Ozone, while a minority constituent in Earth's atmosphere, is responsible for most of the absorption of UVB radiation. The amount of UVB radiation that penetrates through the ozone layer decreases exponentially with the slant-path thickness and density of the layer. When stratospheric ozone levels decrease, higher levels of UVB reach the Earth’s surface</w:t>
      </w:r>
      <w:r>
        <w:rPr>
          <w:rFonts w:ascii="Times New Roman" w:hAnsi="Times New Roman" w:cs="Times New Roman"/>
          <w:lang w:val="en-US"/>
        </w:rPr>
        <w:t>.</w:t>
      </w:r>
      <w:r w:rsidRPr="00650ACC">
        <w:rPr>
          <w:rFonts w:ascii="Times New Roman" w:hAnsi="Times New Roman" w:cs="Times New Roman"/>
          <w:lang w:val="en-US"/>
        </w:rPr>
        <w:t xml:space="preserve"> UV-driven phenolic formation in tree rings has dated the start of ozone depletion in northern latitudes to the late 1700s.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In October 2008, the Ecuadorian Space Agency published a report called HIPERION. The study used ground instruments in Ecuador and the last 28 years' data from 12 satellites of several countries, and found that the UV radiation reaching equatorial latitudes was far greater than expected, with the UV Index climbing as high as 24 in Quito; the WHO considers 11 as an extreme index and a great risk to health. The report concluded that depleted ozone levels around the mid-latitudes of the planet are already endangering large populations in these areas.[42] Later, the CONIDA, the Peruvian Space Agency, published its own study, which yielded almost the same findings as the Ecuadorian study.</w:t>
      </w:r>
    </w:p>
    <w:p w:rsidR="005D43D5" w:rsidRPr="003E2198" w:rsidRDefault="005D43D5" w:rsidP="005D43D5">
      <w:pPr>
        <w:spacing w:after="240" w:line="312" w:lineRule="auto"/>
        <w:rPr>
          <w:rFonts w:ascii="Arial" w:hAnsi="Arial" w:cs="Arial"/>
          <w:b/>
          <w:u w:val="single"/>
          <w:lang w:val="en-US"/>
        </w:rPr>
      </w:pPr>
      <w:r w:rsidRPr="003E2198">
        <w:rPr>
          <w:rFonts w:ascii="Arial" w:hAnsi="Arial" w:cs="Arial"/>
          <w:b/>
          <w:u w:val="single"/>
          <w:lang w:val="en-US"/>
        </w:rPr>
        <w:t>Biological effects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lastRenderedPageBreak/>
        <w:t>The main public concern regarding the ozone hole has been the effects of increased surface UV radiation on human health. So far, ozone depletion in most locations has been typically a few percent and, as noted above, no direct evidence of health damage is available in most latitudes. If the high levels of depletion seen in the ozone hole were to be common across the globe, the effects could be substantially more dramatic. As the ozone hole over Antarctica has in some instances grown so large as to affect parts of Australia, New Zealand, Chile, Argentina, and South Africa, environmentalists have been concerned that the increase in surface UV could be significant.</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Ozone depletion would magnify all of the effects of UV on human health, both positive (including production of Vitamin D) and negative (including sunburn, skin cancer, and cataracts). In addition, increased surface UV leads to increased tropospheric ozone, which is a health risk to humans.</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Basal and squamous cell carcinomas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The most common forms of skin cancer in humans, basal and squamous cell carcinomas, have been strongly linked to UVB exposure. The mechanism by which UVB induces these cancers is well understood—absorption of UVB radiation causes the pyrimidine bases in the DNA molecule to form dimers, resulting in transcription errors when the DNA replicates. These cancers are relatively mild and rarely fatal, although the treatment of squamous cell carcinoma sometimes requires extensive reconstructive surgery. By combining epidemiological data with results of animal studies, scientists have estimated that every one percent decrease in long-term stratospheric ozone would increase the incidence of these cancers by two percent.</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Malignant melanoma</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Another form of skin cancer, malignant melanoma, is much less common but far more dangerous, being lethal in about 15–20 percent of the cases diagnosed. The relationship between malignant melanoma and ultraviolet exposure is not yet fully understood, but it appears that both UVB and UVA are involved. Because of this uncertainty, it is difficult to estimate the effect of ozone depletion on melanoma incidence. One study showed that a 10 percent increase in UVB radiation was associated with a 19 percent increase in melanomas for men and 16 percent for women. A study of people in Punta Arenas, at the southern tip of Chile, showed a 56 percent increase in melanoma and a 46 percent increase in nonmelanoma skin cancer over a period of seven years, along with decreased ozone and increased UVB levels.</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Cortical cataracts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 xml:space="preserve">Epidemiological studies suggest an association between ocular cortical cataracts and UVB exposure, using crude approximations of exposure and various cataract assessment techniques. A detailed assessment of ocular exposure to UVB was carried out in a study on Chesapeake Bay Watermen, where increases in average annual ocular exposure were associated with increasing risk of cortical opacity. In this highly exposed group of predominantly white males, the evidence linking </w:t>
      </w:r>
      <w:r w:rsidRPr="00650ACC">
        <w:rPr>
          <w:rFonts w:ascii="Times New Roman" w:hAnsi="Times New Roman" w:cs="Times New Roman"/>
          <w:lang w:val="en-US"/>
        </w:rPr>
        <w:lastRenderedPageBreak/>
        <w:t>cortical opacities to sunlight exposure was the strongest to date. Based on these results, ozone depletion is predicted to cause hundreds of thousands of additional cataracts by 2050.</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Increased tropospheric ozone</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Increased surface UV leads to increased tropospheric ozone. Ground-level ozone is generally recognized to be a health risk, as ozone is toxic due to its strong oxidant properties. The risks are particularly high for young children, the elderly, and those with asthma or other respiratory difficulties. At this time, ozone at ground level is produced mainly by the action of UV radiation on combustion gases from vehicle exhausts.</w:t>
      </w:r>
    </w:p>
    <w:p w:rsidR="005D43D5" w:rsidRPr="003E2198" w:rsidRDefault="005D43D5" w:rsidP="005D43D5">
      <w:pPr>
        <w:spacing w:after="240" w:line="312" w:lineRule="auto"/>
        <w:rPr>
          <w:rFonts w:ascii="Times New Roman" w:hAnsi="Times New Roman" w:cs="Times New Roman"/>
          <w:i/>
          <w:u w:val="single"/>
          <w:lang w:val="en-US"/>
        </w:rPr>
      </w:pPr>
      <w:r w:rsidRPr="003E2198">
        <w:rPr>
          <w:rFonts w:ascii="Times New Roman" w:hAnsi="Times New Roman" w:cs="Times New Roman"/>
          <w:i/>
          <w:u w:val="single"/>
          <w:lang w:val="en-US"/>
        </w:rPr>
        <w:t>Increased production of vitamin D</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Vitamin D is produced in the skin by ultraviolet light. Thus, higher UVB exposure raises human vitamin D in those deficient in it. Recent research (primarily since the Montreal Protocol) shows that many humans have less than optimal vitamin D levels. In particular, in the U.S. population, the lowest quarter of vitamin D (&lt;17.8 ng/ml) were found using information from the National Health and Nutrition Examination Survey to be associated with an increase in all-cause mortality in the general population.[50] While blood level of Vitamin D in excess of 100 ng/ml appear to raise blood calcium excessively and to be associated with higher mortality, the body has mechanisms that prevent sunlight from producing Vitamin D in excess of the body's requirements.</w:t>
      </w:r>
    </w:p>
    <w:p w:rsidR="005D43D5" w:rsidRPr="003E2198" w:rsidRDefault="005D43D5" w:rsidP="005D43D5">
      <w:pPr>
        <w:spacing w:after="240" w:line="312" w:lineRule="auto"/>
        <w:rPr>
          <w:rFonts w:ascii="Arial" w:hAnsi="Arial" w:cs="Arial"/>
          <w:b/>
          <w:u w:val="single"/>
          <w:lang w:val="en-US"/>
        </w:rPr>
      </w:pPr>
      <w:r w:rsidRPr="003E2198">
        <w:rPr>
          <w:rFonts w:ascii="Arial" w:hAnsi="Arial" w:cs="Arial"/>
          <w:b/>
          <w:u w:val="single"/>
          <w:lang w:val="en-US"/>
        </w:rPr>
        <w:t>Effects on non-human animals</w:t>
      </w:r>
    </w:p>
    <w:p w:rsidR="005D43D5" w:rsidRPr="00650ACC"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 November 2010 report by scientists at the Institute of Zoology in London found that whales off the coast of California have shown a sharp rise in sun damage, and these scientists "fear that the thinning ozone layer is to blame". The study photographed and took skin biopsies from over 150 whales in the Gulf of California and found "widespread evidence of epidermal damage commonly associated with acute and severe sunburn", having cells that form when the DNA is damaged by UV radiation. The findings suggest "rising UV levels as a result of ozone depletion are to blame for the observed skin damage, in the same way that human skin cancer rates have been on the increase in recent decades."</w:t>
      </w:r>
    </w:p>
    <w:p w:rsidR="005D43D5" w:rsidRPr="003E2198" w:rsidRDefault="005D43D5" w:rsidP="005D43D5">
      <w:pPr>
        <w:spacing w:after="240" w:line="312" w:lineRule="auto"/>
        <w:rPr>
          <w:rFonts w:ascii="Arial" w:hAnsi="Arial" w:cs="Arial"/>
          <w:b/>
          <w:u w:val="single"/>
          <w:lang w:val="en-US"/>
        </w:rPr>
      </w:pPr>
      <w:r w:rsidRPr="003E2198">
        <w:rPr>
          <w:rFonts w:ascii="Arial" w:hAnsi="Arial" w:cs="Arial"/>
          <w:b/>
          <w:u w:val="single"/>
          <w:lang w:val="en-US"/>
        </w:rPr>
        <w:t>Effects on crops</w:t>
      </w:r>
    </w:p>
    <w:p w:rsidR="005D43D5" w:rsidRDefault="005D43D5" w:rsidP="005D43D5">
      <w:pPr>
        <w:spacing w:after="240" w:line="312" w:lineRule="auto"/>
        <w:ind w:firstLine="709"/>
        <w:rPr>
          <w:rFonts w:ascii="Times New Roman" w:hAnsi="Times New Roman" w:cs="Times New Roman"/>
          <w:lang w:val="en-US"/>
        </w:rPr>
      </w:pPr>
      <w:r w:rsidRPr="00650ACC">
        <w:rPr>
          <w:rFonts w:ascii="Times New Roman" w:hAnsi="Times New Roman" w:cs="Times New Roman"/>
          <w:lang w:val="en-US"/>
        </w:rPr>
        <w:t>An increase of UV radiation would be expected to affect crops. A number of economically important species of plants, such as rice, depend on cyanobacteria residing on their roots for the retention of nitrogen. Cyanobacteria are sensitive to UV radiation and would be affected by its increase. "Despite mechanisms to reduce or repair the effects of increased ultraviolet radiation, plants have a limited ability to adapt to increased levels of UVB, therefore plant growth can be directly affected by UVB radiation."</w:t>
      </w:r>
    </w:p>
    <w:p w:rsidR="005D43D5" w:rsidRDefault="005D43D5" w:rsidP="005D43D5">
      <w:pPr>
        <w:spacing w:line="312" w:lineRule="auto"/>
        <w:rPr>
          <w:rFonts w:ascii="Times New Roman" w:hAnsi="Times New Roman" w:cs="Times New Roman"/>
          <w:lang w:val="en-US"/>
        </w:rPr>
        <w:sectPr w:rsidR="005D43D5" w:rsidSect="00132FE2">
          <w:pgSz w:w="11906" w:h="16838"/>
          <w:pgMar w:top="1418" w:right="1418" w:bottom="1418" w:left="1418" w:header="709" w:footer="709" w:gutter="0"/>
          <w:cols w:space="708"/>
          <w:titlePg/>
          <w:docGrid w:linePitch="360"/>
        </w:sectPr>
      </w:pPr>
    </w:p>
    <w:p w:rsidR="005D43D5" w:rsidRDefault="005D43D5" w:rsidP="005D43D5">
      <w:pPr>
        <w:spacing w:after="240" w:line="312" w:lineRule="auto"/>
        <w:ind w:firstLine="709"/>
        <w:jc w:val="center"/>
        <w:rPr>
          <w:rFonts w:ascii="Arial" w:hAnsi="Arial" w:cs="Arial"/>
          <w:color w:val="FF0000"/>
          <w:sz w:val="34"/>
          <w:szCs w:val="34"/>
        </w:rPr>
      </w:pPr>
      <w:r w:rsidRPr="005211C3">
        <w:rPr>
          <w:rFonts w:ascii="Arial" w:hAnsi="Arial" w:cs="Arial"/>
          <w:color w:val="FF0000"/>
          <w:sz w:val="34"/>
          <w:szCs w:val="34"/>
          <w:lang w:val="en-US"/>
        </w:rPr>
        <w:lastRenderedPageBreak/>
        <w:t>6.</w:t>
      </w:r>
      <w:r w:rsidRPr="005211C3">
        <w:rPr>
          <w:rFonts w:ascii="Arial" w:hAnsi="Arial" w:cs="Arial"/>
          <w:color w:val="FF0000"/>
          <w:sz w:val="34"/>
          <w:szCs w:val="34"/>
        </w:rPr>
        <w:t>Η οικογένεια μου</w:t>
      </w:r>
    </w:p>
    <w:p w:rsidR="005D43D5" w:rsidRPr="00847A22" w:rsidRDefault="00511BE7" w:rsidP="005D43D5">
      <w:pPr>
        <w:spacing w:after="240" w:line="312" w:lineRule="auto"/>
        <w:rPr>
          <w:rFonts w:ascii="Times New Roman" w:hAnsi="Times New Roman" w:cs="Times New Roman"/>
        </w:rPr>
      </w:pPr>
      <w:r>
        <w:rPr>
          <w:rFonts w:ascii="Times New Roman" w:hAnsi="Times New Roman" w:cs="Times New Roman"/>
          <w:noProof/>
        </w:rPr>
        <w:pict>
          <v:line id="Ευθεία γραμμή σύνδεσης 8" o:spid="_x0000_s1026" style="position:absolute;z-index:251661312;visibility:visible" from="292.1pt,83.7pt" to="292.1pt,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" strokecolor="#4472c4" strokeweight="1.5pt">
            <v:stroke joinstyle="miter"/>
          </v:line>
        </w:pict>
      </w:r>
      <w:r w:rsidR="005D43D5">
        <w:rPr>
          <w:rFonts w:ascii="Times New Roman" w:hAnsi="Times New Roman" w:cs="Times New Roman"/>
          <w:noProof/>
          <w:lang w:eastAsia="el-GR"/>
        </w:rPr>
        <w:drawing>
          <wp:inline distT="0" distB="0" distL="0" distR="0">
            <wp:extent cx="5486400" cy="3200400"/>
            <wp:effectExtent l="19050" t="0" r="19050" b="0"/>
            <wp:docPr id="7"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5D43D5" w:rsidRPr="005D43D5" w:rsidRDefault="005D43D5" w:rsidP="005D43D5">
      <w:pPr>
        <w:spacing w:line="312" w:lineRule="auto"/>
        <w:rPr>
          <w:rFonts w:ascii="Times New Roman" w:hAnsi="Times New Roman" w:cs="Times New Roman"/>
          <w:lang w:val="en-US"/>
        </w:rPr>
        <w:sectPr w:rsidR="005D43D5" w:rsidRPr="005D43D5" w:rsidSect="00132FE2">
          <w:pgSz w:w="11906" w:h="16838"/>
          <w:pgMar w:top="1418" w:right="1418" w:bottom="1418" w:left="1418" w:header="709" w:footer="709" w:gutter="0"/>
          <w:cols w:space="708"/>
          <w:titlePg/>
          <w:docGrid w:linePitch="360"/>
        </w:sectPr>
      </w:pPr>
    </w:p>
    <w:p w:rsidR="00A3649A" w:rsidRPr="005D43D5" w:rsidRDefault="00A3649A">
      <w:pPr>
        <w:rPr>
          <w:lang w:val="en-US"/>
        </w:rPr>
      </w:pPr>
    </w:p>
    <w:sectPr w:rsidR="00A3649A" w:rsidRPr="005D43D5" w:rsidSect="00511BE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910" w:rsidRDefault="00406910" w:rsidP="00D07F03">
      <w:pPr>
        <w:spacing w:after="0" w:line="240" w:lineRule="auto"/>
      </w:pPr>
      <w:r>
        <w:separator/>
      </w:r>
    </w:p>
  </w:endnote>
  <w:endnote w:type="continuationSeparator" w:id="1">
    <w:p w:rsidR="00406910" w:rsidRDefault="00406910" w:rsidP="00D07F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03" w:rsidRDefault="00D07F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F1A" w:rsidRDefault="004069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C9" w:rsidRDefault="0040691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03" w:rsidRDefault="00D07F0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03" w:rsidRDefault="00D07F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910" w:rsidRDefault="00406910" w:rsidP="00D07F03">
      <w:pPr>
        <w:spacing w:after="0" w:line="240" w:lineRule="auto"/>
      </w:pPr>
      <w:r>
        <w:separator/>
      </w:r>
    </w:p>
  </w:footnote>
  <w:footnote w:type="continuationSeparator" w:id="1">
    <w:p w:rsidR="00406910" w:rsidRDefault="00406910" w:rsidP="00D07F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C304A"/>
    <w:multiLevelType w:val="hybridMultilevel"/>
    <w:tmpl w:val="26D410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C885DA5"/>
    <w:multiLevelType w:val="hybridMultilevel"/>
    <w:tmpl w:val="A9F498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0"/>
    <w:footnote w:id="1"/>
  </w:footnotePr>
  <w:endnotePr>
    <w:endnote w:id="0"/>
    <w:endnote w:id="1"/>
  </w:endnotePr>
  <w:compat/>
  <w:rsids>
    <w:rsidRoot w:val="005D43D5"/>
    <w:rsid w:val="002C0D1D"/>
    <w:rsid w:val="00406910"/>
    <w:rsid w:val="00511BE7"/>
    <w:rsid w:val="005D43D5"/>
    <w:rsid w:val="00754FF5"/>
    <w:rsid w:val="00900908"/>
    <w:rsid w:val="00A3649A"/>
    <w:rsid w:val="00D07F0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3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43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5D43D5"/>
  </w:style>
  <w:style w:type="paragraph" w:styleId="ListParagraph">
    <w:name w:val="List Paragraph"/>
    <w:basedOn w:val="Normal"/>
    <w:uiPriority w:val="34"/>
    <w:qFormat/>
    <w:rsid w:val="005D43D5"/>
    <w:pPr>
      <w:ind w:left="720"/>
      <w:contextualSpacing/>
    </w:pPr>
  </w:style>
  <w:style w:type="table" w:styleId="TableGrid">
    <w:name w:val="Table Grid"/>
    <w:basedOn w:val="TableNormal"/>
    <w:uiPriority w:val="39"/>
    <w:rsid w:val="005D4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7F03"/>
    <w:pPr>
      <w:tabs>
        <w:tab w:val="center" w:pos="4153"/>
        <w:tab w:val="right" w:pos="8306"/>
      </w:tabs>
      <w:spacing w:after="0" w:line="240" w:lineRule="auto"/>
    </w:pPr>
  </w:style>
  <w:style w:type="character" w:customStyle="1" w:styleId="HeaderChar">
    <w:name w:val="Header Char"/>
    <w:basedOn w:val="DefaultParagraphFont"/>
    <w:link w:val="Header"/>
    <w:uiPriority w:val="99"/>
    <w:rsid w:val="00D07F03"/>
  </w:style>
  <w:style w:type="paragraph" w:styleId="Subtitle">
    <w:name w:val="Subtitle"/>
    <w:basedOn w:val="Normal"/>
    <w:next w:val="Normal"/>
    <w:link w:val="SubtitleChar"/>
    <w:uiPriority w:val="11"/>
    <w:qFormat/>
    <w:rsid w:val="00D07F0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07F03"/>
    <w:rPr>
      <w:rFonts w:eastAsiaTheme="minorEastAsia"/>
      <w:color w:val="5A5A5A" w:themeColor="text1" w:themeTint="A5"/>
      <w:spacing w:val="1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diagramData" Target="diagrams/data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diagramQuickStyle" Target="diagrams/quickStyle1.xml"/><Relationship Id="rId10" Type="http://schemas.openxmlformats.org/officeDocument/2006/relationships/footer" Target="footer4.xml"/><Relationship Id="rId19"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521F3C-1DE4-4B2F-9E84-0803C59C57F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7854E3E1-9E32-48B8-9CDE-21E1F2CFD23F}">
      <dgm:prSet phldrT="[Κείμενο]"/>
      <dgm:spPr>
        <a:xfrm>
          <a:off x="1341709" y="463807"/>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Ειρήνη</a:t>
          </a:r>
        </a:p>
      </dgm:t>
    </dgm:pt>
    <dgm:pt modelId="{8142BD00-5484-4A82-A120-852E94A93C56}" type="parTrans" cxnId="{FD68865C-7BF3-4A26-A47C-A9160388A878}">
      <dgm:prSet/>
      <dgm:spPr/>
      <dgm:t>
        <a:bodyPr/>
        <a:lstStyle/>
        <a:p>
          <a:pPr algn="ctr"/>
          <a:endParaRPr lang="el-GR"/>
        </a:p>
      </dgm:t>
    </dgm:pt>
    <dgm:pt modelId="{DD3480C5-114B-4988-B061-07849D2129CC}" type="sibTrans" cxnId="{FD68865C-7BF3-4A26-A47C-A9160388A878}">
      <dgm:prSet/>
      <dgm:spPr/>
      <dgm:t>
        <a:bodyPr/>
        <a:lstStyle/>
        <a:p>
          <a:pPr algn="ctr"/>
          <a:endParaRPr lang="el-GR"/>
        </a:p>
      </dgm:t>
    </dgm:pt>
    <dgm:pt modelId="{870C1B3A-2E23-4D3A-B09B-BBAA930CF3DA}">
      <dgm:prSet phldrT="[Κείμενο]"/>
      <dgm:spPr>
        <a:xfrm>
          <a:off x="719001" y="1304264"/>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Σοφία</a:t>
          </a:r>
        </a:p>
      </dgm:t>
    </dgm:pt>
    <dgm:pt modelId="{4F7E028A-0EA5-466D-BDD8-003B496D8475}" type="parTrans" cxnId="{EAA93755-EC29-4882-B939-55B9DEF96A83}">
      <dgm:prSet/>
      <dgm:spPr>
        <a:xfrm>
          <a:off x="1310872" y="1055678"/>
          <a:ext cx="622707" cy="248585"/>
        </a:xfrm>
        <a:noFill/>
        <a:ln w="12700" cap="flat" cmpd="sng" algn="ctr">
          <a:solidFill>
            <a:srgbClr val="4472C4">
              <a:shade val="60000"/>
              <a:hueOff val="0"/>
              <a:satOff val="0"/>
              <a:lumOff val="0"/>
              <a:alphaOff val="0"/>
            </a:srgbClr>
          </a:solidFill>
          <a:prstDash val="solid"/>
          <a:miter lim="800000"/>
        </a:ln>
        <a:effectLst/>
      </dgm:spPr>
      <dgm:t>
        <a:bodyPr/>
        <a:lstStyle/>
        <a:p>
          <a:pPr algn="ctr"/>
          <a:endParaRPr lang="el-GR"/>
        </a:p>
      </dgm:t>
    </dgm:pt>
    <dgm:pt modelId="{A64B674F-1A5A-493C-ADC5-10ACDDF3F01D}" type="sibTrans" cxnId="{EAA93755-EC29-4882-B939-55B9DEF96A83}">
      <dgm:prSet/>
      <dgm:spPr/>
      <dgm:t>
        <a:bodyPr/>
        <a:lstStyle/>
        <a:p>
          <a:pPr algn="ctr"/>
          <a:endParaRPr lang="el-GR"/>
        </a:p>
      </dgm:t>
    </dgm:pt>
    <dgm:pt modelId="{65BADE31-02D4-4A0A-868B-2B7B7601CE03}">
      <dgm:prSet phldrT="[Κείμενο]"/>
      <dgm:spPr>
        <a:xfrm>
          <a:off x="3583656" y="1304264"/>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Γιώργος</a:t>
          </a:r>
        </a:p>
      </dgm:t>
    </dgm:pt>
    <dgm:pt modelId="{D3A46E04-9A63-4927-8CBA-657CBB1850E8}" type="parTrans" cxnId="{2F1BDC2A-7A3D-4751-BD40-B16346D278EA}">
      <dgm:prSet/>
      <dgm:spPr>
        <a:xfrm>
          <a:off x="1933579" y="1055678"/>
          <a:ext cx="2241947" cy="248585"/>
        </a:xfrm>
        <a:noFill/>
        <a:ln w="12700" cap="flat" cmpd="sng" algn="ctr">
          <a:solidFill>
            <a:srgbClr val="4472C4">
              <a:shade val="60000"/>
              <a:hueOff val="0"/>
              <a:satOff val="0"/>
              <a:lumOff val="0"/>
              <a:alphaOff val="0"/>
            </a:srgbClr>
          </a:solidFill>
          <a:prstDash val="solid"/>
          <a:miter lim="800000"/>
        </a:ln>
        <a:effectLst/>
      </dgm:spPr>
      <dgm:t>
        <a:bodyPr/>
        <a:lstStyle/>
        <a:p>
          <a:pPr algn="ctr"/>
          <a:endParaRPr lang="el-GR"/>
        </a:p>
      </dgm:t>
    </dgm:pt>
    <dgm:pt modelId="{C23AE4BD-156D-4A8A-8CBE-693506A1A5D4}" type="sibTrans" cxnId="{2F1BDC2A-7A3D-4751-BD40-B16346D278EA}">
      <dgm:prSet/>
      <dgm:spPr/>
      <dgm:t>
        <a:bodyPr/>
        <a:lstStyle/>
        <a:p>
          <a:pPr algn="ctr"/>
          <a:endParaRPr lang="el-GR"/>
        </a:p>
      </dgm:t>
    </dgm:pt>
    <dgm:pt modelId="{C691E350-15E0-4654-B427-4F8AEE059242}" type="asst">
      <dgm:prSet/>
      <dgm:spPr>
        <a:xfrm>
          <a:off x="2837" y="2144721"/>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Ειρήνη</a:t>
          </a:r>
        </a:p>
      </dgm:t>
    </dgm:pt>
    <dgm:pt modelId="{DBBF1F47-2E9E-4D5F-A9D6-597FB502A7A0}" type="parTrans" cxnId="{A15D59E1-2286-43D0-BD83-501BE18ED3BD}">
      <dgm:prSet/>
      <dgm:spPr>
        <a:xfrm>
          <a:off x="1186579" y="1896135"/>
          <a:ext cx="124292" cy="544521"/>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el-GR"/>
        </a:p>
      </dgm:t>
    </dgm:pt>
    <dgm:pt modelId="{6E35C12E-A60C-4B8C-81C2-D4365466DCFD}" type="sibTrans" cxnId="{A15D59E1-2286-43D0-BD83-501BE18ED3BD}">
      <dgm:prSet/>
      <dgm:spPr/>
      <dgm:t>
        <a:bodyPr/>
        <a:lstStyle/>
        <a:p>
          <a:pPr algn="ctr"/>
          <a:endParaRPr lang="el-GR"/>
        </a:p>
      </dgm:t>
    </dgm:pt>
    <dgm:pt modelId="{AACE675B-56B4-4C06-9341-18F18A80DB3F}" type="asst">
      <dgm:prSet/>
      <dgm:spPr>
        <a:xfrm>
          <a:off x="1435165" y="2144721"/>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Δημήτρης</a:t>
          </a:r>
        </a:p>
      </dgm:t>
    </dgm:pt>
    <dgm:pt modelId="{0391B130-A56F-42BD-B929-5D3390E51DB3}" type="parTrans" cxnId="{FA0C6559-A7C6-413F-A10B-88B80A02D926}">
      <dgm:prSet/>
      <dgm:spPr>
        <a:xfrm>
          <a:off x="1310872" y="1896135"/>
          <a:ext cx="124292" cy="544521"/>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el-GR"/>
        </a:p>
      </dgm:t>
    </dgm:pt>
    <dgm:pt modelId="{E0A200E7-F4BF-49F8-AC72-63737DD17738}" type="sibTrans" cxnId="{FA0C6559-A7C6-413F-A10B-88B80A02D926}">
      <dgm:prSet/>
      <dgm:spPr/>
      <dgm:t>
        <a:bodyPr/>
        <a:lstStyle/>
        <a:p>
          <a:pPr algn="ctr"/>
          <a:endParaRPr lang="el-GR"/>
        </a:p>
      </dgm:t>
    </dgm:pt>
    <dgm:pt modelId="{AE0CC521-C8F8-4D95-A2C4-B003C9A16CDA}" type="asst">
      <dgm:prSet/>
      <dgm:spPr>
        <a:xfrm>
          <a:off x="2867492" y="2144721"/>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Βικτώρια</a:t>
          </a:r>
        </a:p>
      </dgm:t>
    </dgm:pt>
    <dgm:pt modelId="{53D141E9-F08B-4997-BAED-055D41DAC22D}" type="parTrans" cxnId="{8AE51739-9102-454B-8B24-6465CA99F428}">
      <dgm:prSet/>
      <dgm:spPr>
        <a:xfrm>
          <a:off x="4051234" y="1896135"/>
          <a:ext cx="124292" cy="544521"/>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el-GR"/>
        </a:p>
      </dgm:t>
    </dgm:pt>
    <dgm:pt modelId="{1970DE40-F620-4C52-A218-1D6DB341D5EA}" type="sibTrans" cxnId="{8AE51739-9102-454B-8B24-6465CA99F428}">
      <dgm:prSet/>
      <dgm:spPr/>
      <dgm:t>
        <a:bodyPr/>
        <a:lstStyle/>
        <a:p>
          <a:pPr algn="ctr"/>
          <a:endParaRPr lang="el-GR"/>
        </a:p>
      </dgm:t>
    </dgm:pt>
    <dgm:pt modelId="{555179A0-00B4-443A-9A3A-E16A9E3486D6}" type="asst">
      <dgm:prSet/>
      <dgm:spPr>
        <a:xfrm>
          <a:off x="4299820" y="2144721"/>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a:solidFill>
                <a:sysClr val="window" lastClr="FFFFFF"/>
              </a:solidFill>
              <a:latin typeface="Calibri" panose="020F0502020204030204"/>
              <a:ea typeface="+mn-ea"/>
              <a:cs typeface="+mn-cs"/>
            </a:rPr>
            <a:t>Παύλος</a:t>
          </a:r>
        </a:p>
      </dgm:t>
    </dgm:pt>
    <dgm:pt modelId="{1AF3A03C-6B74-45A4-8540-875246A7F4C0}" type="parTrans" cxnId="{125869DD-E4A9-4732-9E96-2B9BD581F789}">
      <dgm:prSet/>
      <dgm:spPr>
        <a:xfrm>
          <a:off x="4175527" y="1896135"/>
          <a:ext cx="124292" cy="544521"/>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el-GR"/>
        </a:p>
      </dgm:t>
    </dgm:pt>
    <dgm:pt modelId="{1A387319-BFE3-4BF1-8CEF-FB46C5354930}" type="sibTrans" cxnId="{125869DD-E4A9-4732-9E96-2B9BD581F789}">
      <dgm:prSet/>
      <dgm:spPr/>
      <dgm:t>
        <a:bodyPr/>
        <a:lstStyle/>
        <a:p>
          <a:pPr algn="ctr"/>
          <a:endParaRPr lang="el-GR"/>
        </a:p>
      </dgm:t>
    </dgm:pt>
    <dgm:pt modelId="{AF05DC58-D7D5-4665-ADE5-A09E94BEEC71}">
      <dgm:prSet/>
      <dgm:spPr>
        <a:xfrm>
          <a:off x="2888326" y="463807"/>
          <a:ext cx="1183741" cy="591870"/>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l-GR">
              <a:solidFill>
                <a:sysClr val="window" lastClr="FFFFFF"/>
              </a:solidFill>
              <a:latin typeface="Calibri" panose="020F0502020204030204"/>
              <a:ea typeface="+mn-ea"/>
              <a:cs typeface="+mn-cs"/>
            </a:rPr>
            <a:t>Βικτώρια</a:t>
          </a:r>
        </a:p>
      </dgm:t>
    </dgm:pt>
    <dgm:pt modelId="{6B11D461-1F76-4177-814C-EA90A3699AA3}" type="parTrans" cxnId="{3C6D9763-B267-4F4E-A355-47C1BDABCC35}">
      <dgm:prSet/>
      <dgm:spPr/>
      <dgm:t>
        <a:bodyPr/>
        <a:lstStyle/>
        <a:p>
          <a:endParaRPr lang="el-GR"/>
        </a:p>
      </dgm:t>
    </dgm:pt>
    <dgm:pt modelId="{614B786E-1AE4-445D-B660-D192B4638FE7}" type="sibTrans" cxnId="{3C6D9763-B267-4F4E-A355-47C1BDABCC35}">
      <dgm:prSet/>
      <dgm:spPr/>
      <dgm:t>
        <a:bodyPr/>
        <a:lstStyle/>
        <a:p>
          <a:endParaRPr lang="el-GR"/>
        </a:p>
      </dgm:t>
    </dgm:pt>
    <dgm:pt modelId="{3D050C2D-F4AB-4DED-A7BB-6DCC40238060}" type="pres">
      <dgm:prSet presAssocID="{51521F3C-1DE4-4B2F-9E84-0803C59C57FB}" presName="hierChild1" presStyleCnt="0">
        <dgm:presLayoutVars>
          <dgm:orgChart val="1"/>
          <dgm:chPref val="1"/>
          <dgm:dir/>
          <dgm:animOne val="branch"/>
          <dgm:animLvl val="lvl"/>
          <dgm:resizeHandles/>
        </dgm:presLayoutVars>
      </dgm:prSet>
      <dgm:spPr/>
      <dgm:t>
        <a:bodyPr/>
        <a:lstStyle/>
        <a:p>
          <a:endParaRPr lang="el-GR"/>
        </a:p>
      </dgm:t>
    </dgm:pt>
    <dgm:pt modelId="{7C625114-1561-4144-B985-9F28FFB72FAF}" type="pres">
      <dgm:prSet presAssocID="{7854E3E1-9E32-48B8-9CDE-21E1F2CFD23F}" presName="hierRoot1" presStyleCnt="0">
        <dgm:presLayoutVars>
          <dgm:hierBranch val="init"/>
        </dgm:presLayoutVars>
      </dgm:prSet>
      <dgm:spPr/>
    </dgm:pt>
    <dgm:pt modelId="{B8CA5DEE-3124-4FF4-AC4F-8B91C28F3509}" type="pres">
      <dgm:prSet presAssocID="{7854E3E1-9E32-48B8-9CDE-21E1F2CFD23F}" presName="rootComposite1" presStyleCnt="0"/>
      <dgm:spPr/>
    </dgm:pt>
    <dgm:pt modelId="{F3725BE6-817E-4043-B487-5AB20DB7E41E}" type="pres">
      <dgm:prSet presAssocID="{7854E3E1-9E32-48B8-9CDE-21E1F2CFD23F}" presName="rootText1" presStyleLbl="node0" presStyleIdx="0" presStyleCnt="2" custLinFactNeighborX="-68395">
        <dgm:presLayoutVars>
          <dgm:chPref val="3"/>
        </dgm:presLayoutVars>
      </dgm:prSet>
      <dgm:spPr>
        <a:prstGeom prst="rect">
          <a:avLst/>
        </a:prstGeom>
      </dgm:spPr>
      <dgm:t>
        <a:bodyPr/>
        <a:lstStyle/>
        <a:p>
          <a:endParaRPr lang="el-GR"/>
        </a:p>
      </dgm:t>
    </dgm:pt>
    <dgm:pt modelId="{F09D1EA2-AE69-4E01-9777-41504DAB9B35}" type="pres">
      <dgm:prSet presAssocID="{7854E3E1-9E32-48B8-9CDE-21E1F2CFD23F}" presName="rootConnector1" presStyleLbl="node1" presStyleIdx="0" presStyleCnt="0"/>
      <dgm:spPr/>
      <dgm:t>
        <a:bodyPr/>
        <a:lstStyle/>
        <a:p>
          <a:endParaRPr lang="el-GR"/>
        </a:p>
      </dgm:t>
    </dgm:pt>
    <dgm:pt modelId="{E47AB678-D80B-46E6-8BB5-C8F7AE883357}" type="pres">
      <dgm:prSet presAssocID="{7854E3E1-9E32-48B8-9CDE-21E1F2CFD23F}" presName="hierChild2" presStyleCnt="0"/>
      <dgm:spPr/>
    </dgm:pt>
    <dgm:pt modelId="{E33866E5-10A6-4DF3-A347-BDA86BB5F88A}" type="pres">
      <dgm:prSet presAssocID="{4F7E028A-0EA5-466D-BDD8-003B496D8475}" presName="Name37" presStyleLbl="parChTrans1D2" presStyleIdx="0" presStyleCnt="2"/>
      <dgm:spPr>
        <a:custGeom>
          <a:avLst/>
          <a:gdLst/>
          <a:ahLst/>
          <a:cxnLst/>
          <a:rect l="0" t="0" r="0" b="0"/>
          <a:pathLst>
            <a:path>
              <a:moveTo>
                <a:pt x="622707" y="0"/>
              </a:moveTo>
              <a:lnTo>
                <a:pt x="622707" y="124292"/>
              </a:lnTo>
              <a:lnTo>
                <a:pt x="0" y="124292"/>
              </a:lnTo>
              <a:lnTo>
                <a:pt x="0" y="248585"/>
              </a:lnTo>
            </a:path>
          </a:pathLst>
        </a:custGeom>
      </dgm:spPr>
      <dgm:t>
        <a:bodyPr/>
        <a:lstStyle/>
        <a:p>
          <a:endParaRPr lang="el-GR"/>
        </a:p>
      </dgm:t>
    </dgm:pt>
    <dgm:pt modelId="{1F1F34DF-1255-430F-93D6-908487D676E7}" type="pres">
      <dgm:prSet presAssocID="{870C1B3A-2E23-4D3A-B09B-BBAA930CF3DA}" presName="hierRoot2" presStyleCnt="0">
        <dgm:presLayoutVars>
          <dgm:hierBranch val="init"/>
        </dgm:presLayoutVars>
      </dgm:prSet>
      <dgm:spPr/>
    </dgm:pt>
    <dgm:pt modelId="{972D23F7-3893-4E51-A1B0-8F8EBB62332A}" type="pres">
      <dgm:prSet presAssocID="{870C1B3A-2E23-4D3A-B09B-BBAA930CF3DA}" presName="rootComposite" presStyleCnt="0"/>
      <dgm:spPr/>
    </dgm:pt>
    <dgm:pt modelId="{5401B0BC-AF32-4A23-A9A5-9E9FB6736596}" type="pres">
      <dgm:prSet presAssocID="{870C1B3A-2E23-4D3A-B09B-BBAA930CF3DA}" presName="rootText" presStyleLbl="node2" presStyleIdx="0" presStyleCnt="2">
        <dgm:presLayoutVars>
          <dgm:chPref val="3"/>
        </dgm:presLayoutVars>
      </dgm:prSet>
      <dgm:spPr>
        <a:prstGeom prst="rect">
          <a:avLst/>
        </a:prstGeom>
      </dgm:spPr>
      <dgm:t>
        <a:bodyPr/>
        <a:lstStyle/>
        <a:p>
          <a:endParaRPr lang="el-GR"/>
        </a:p>
      </dgm:t>
    </dgm:pt>
    <dgm:pt modelId="{76AF2BF7-D26F-45FA-8FED-AF60D61BC274}" type="pres">
      <dgm:prSet presAssocID="{870C1B3A-2E23-4D3A-B09B-BBAA930CF3DA}" presName="rootConnector" presStyleLbl="node2" presStyleIdx="0" presStyleCnt="2"/>
      <dgm:spPr/>
      <dgm:t>
        <a:bodyPr/>
        <a:lstStyle/>
        <a:p>
          <a:endParaRPr lang="el-GR"/>
        </a:p>
      </dgm:t>
    </dgm:pt>
    <dgm:pt modelId="{CC53EA83-3DED-4469-9170-A41BA2503D7F}" type="pres">
      <dgm:prSet presAssocID="{870C1B3A-2E23-4D3A-B09B-BBAA930CF3DA}" presName="hierChild4" presStyleCnt="0"/>
      <dgm:spPr/>
    </dgm:pt>
    <dgm:pt modelId="{5CDAF2D5-5FD4-4FB1-A666-00A69A6307FD}" type="pres">
      <dgm:prSet presAssocID="{870C1B3A-2E23-4D3A-B09B-BBAA930CF3DA}" presName="hierChild5" presStyleCnt="0"/>
      <dgm:spPr/>
    </dgm:pt>
    <dgm:pt modelId="{D4E4A5CA-27BE-41A8-A3AC-5A18C9A4A171}" type="pres">
      <dgm:prSet presAssocID="{DBBF1F47-2E9E-4D5F-A9D6-597FB502A7A0}" presName="Name111" presStyleLbl="parChTrans1D3" presStyleIdx="0" presStyleCnt="4"/>
      <dgm:spPr>
        <a:custGeom>
          <a:avLst/>
          <a:gdLst/>
          <a:ahLst/>
          <a:cxnLst/>
          <a:rect l="0" t="0" r="0" b="0"/>
          <a:pathLst>
            <a:path>
              <a:moveTo>
                <a:pt x="124292" y="0"/>
              </a:moveTo>
              <a:lnTo>
                <a:pt x="124292" y="544521"/>
              </a:lnTo>
              <a:lnTo>
                <a:pt x="0" y="544521"/>
              </a:lnTo>
            </a:path>
          </a:pathLst>
        </a:custGeom>
      </dgm:spPr>
      <dgm:t>
        <a:bodyPr/>
        <a:lstStyle/>
        <a:p>
          <a:endParaRPr lang="el-GR"/>
        </a:p>
      </dgm:t>
    </dgm:pt>
    <dgm:pt modelId="{3A53C838-F030-4B00-9B62-56B4FB335ED5}" type="pres">
      <dgm:prSet presAssocID="{C691E350-15E0-4654-B427-4F8AEE059242}" presName="hierRoot3" presStyleCnt="0">
        <dgm:presLayoutVars>
          <dgm:hierBranch val="init"/>
        </dgm:presLayoutVars>
      </dgm:prSet>
      <dgm:spPr/>
    </dgm:pt>
    <dgm:pt modelId="{F0331FDC-114B-4D99-873C-9DE41ADFA757}" type="pres">
      <dgm:prSet presAssocID="{C691E350-15E0-4654-B427-4F8AEE059242}" presName="rootComposite3" presStyleCnt="0"/>
      <dgm:spPr/>
    </dgm:pt>
    <dgm:pt modelId="{C40A7A68-24EF-41DC-864C-97B1FA3EB91B}" type="pres">
      <dgm:prSet presAssocID="{C691E350-15E0-4654-B427-4F8AEE059242}" presName="rootText3" presStyleLbl="asst2" presStyleIdx="0" presStyleCnt="4">
        <dgm:presLayoutVars>
          <dgm:chPref val="3"/>
        </dgm:presLayoutVars>
      </dgm:prSet>
      <dgm:spPr>
        <a:prstGeom prst="rect">
          <a:avLst/>
        </a:prstGeom>
      </dgm:spPr>
      <dgm:t>
        <a:bodyPr/>
        <a:lstStyle/>
        <a:p>
          <a:endParaRPr lang="el-GR"/>
        </a:p>
      </dgm:t>
    </dgm:pt>
    <dgm:pt modelId="{0933B56A-C80D-4626-8936-21051F053BD5}" type="pres">
      <dgm:prSet presAssocID="{C691E350-15E0-4654-B427-4F8AEE059242}" presName="rootConnector3" presStyleLbl="asst2" presStyleIdx="0" presStyleCnt="4"/>
      <dgm:spPr/>
      <dgm:t>
        <a:bodyPr/>
        <a:lstStyle/>
        <a:p>
          <a:endParaRPr lang="el-GR"/>
        </a:p>
      </dgm:t>
    </dgm:pt>
    <dgm:pt modelId="{B0EE426F-64F1-4E98-AEDB-C24F66121DCE}" type="pres">
      <dgm:prSet presAssocID="{C691E350-15E0-4654-B427-4F8AEE059242}" presName="hierChild6" presStyleCnt="0"/>
      <dgm:spPr/>
    </dgm:pt>
    <dgm:pt modelId="{87CD33E9-F39C-4F1B-8613-A3F1796200B1}" type="pres">
      <dgm:prSet presAssocID="{C691E350-15E0-4654-B427-4F8AEE059242}" presName="hierChild7" presStyleCnt="0"/>
      <dgm:spPr/>
    </dgm:pt>
    <dgm:pt modelId="{DE289D9D-8807-449A-911C-C893505FC711}" type="pres">
      <dgm:prSet presAssocID="{0391B130-A56F-42BD-B929-5D3390E51DB3}" presName="Name111" presStyleLbl="parChTrans1D3" presStyleIdx="1" presStyleCnt="4"/>
      <dgm:spPr>
        <a:custGeom>
          <a:avLst/>
          <a:gdLst/>
          <a:ahLst/>
          <a:cxnLst/>
          <a:rect l="0" t="0" r="0" b="0"/>
          <a:pathLst>
            <a:path>
              <a:moveTo>
                <a:pt x="0" y="0"/>
              </a:moveTo>
              <a:lnTo>
                <a:pt x="0" y="544521"/>
              </a:lnTo>
              <a:lnTo>
                <a:pt x="124292" y="544521"/>
              </a:lnTo>
            </a:path>
          </a:pathLst>
        </a:custGeom>
      </dgm:spPr>
      <dgm:t>
        <a:bodyPr/>
        <a:lstStyle/>
        <a:p>
          <a:endParaRPr lang="el-GR"/>
        </a:p>
      </dgm:t>
    </dgm:pt>
    <dgm:pt modelId="{B5E418C5-1685-4C77-A67E-3FC5AB1B964D}" type="pres">
      <dgm:prSet presAssocID="{AACE675B-56B4-4C06-9341-18F18A80DB3F}" presName="hierRoot3" presStyleCnt="0">
        <dgm:presLayoutVars>
          <dgm:hierBranch val="init"/>
        </dgm:presLayoutVars>
      </dgm:prSet>
      <dgm:spPr/>
    </dgm:pt>
    <dgm:pt modelId="{69ADB2CB-3748-427A-9249-3175A314A839}" type="pres">
      <dgm:prSet presAssocID="{AACE675B-56B4-4C06-9341-18F18A80DB3F}" presName="rootComposite3" presStyleCnt="0"/>
      <dgm:spPr/>
    </dgm:pt>
    <dgm:pt modelId="{3C8494EC-7689-4FAF-B02F-D1FA1C9D1B7B}" type="pres">
      <dgm:prSet presAssocID="{AACE675B-56B4-4C06-9341-18F18A80DB3F}" presName="rootText3" presStyleLbl="asst2" presStyleIdx="1" presStyleCnt="4">
        <dgm:presLayoutVars>
          <dgm:chPref val="3"/>
        </dgm:presLayoutVars>
      </dgm:prSet>
      <dgm:spPr>
        <a:prstGeom prst="rect">
          <a:avLst/>
        </a:prstGeom>
      </dgm:spPr>
      <dgm:t>
        <a:bodyPr/>
        <a:lstStyle/>
        <a:p>
          <a:endParaRPr lang="el-GR"/>
        </a:p>
      </dgm:t>
    </dgm:pt>
    <dgm:pt modelId="{8207E9BE-D0CD-4B98-A62A-5AEAFE2ABDF2}" type="pres">
      <dgm:prSet presAssocID="{AACE675B-56B4-4C06-9341-18F18A80DB3F}" presName="rootConnector3" presStyleLbl="asst2" presStyleIdx="1" presStyleCnt="4"/>
      <dgm:spPr/>
      <dgm:t>
        <a:bodyPr/>
        <a:lstStyle/>
        <a:p>
          <a:endParaRPr lang="el-GR"/>
        </a:p>
      </dgm:t>
    </dgm:pt>
    <dgm:pt modelId="{1316768A-DEAE-45BA-8FBA-3AE2F8F07DEA}" type="pres">
      <dgm:prSet presAssocID="{AACE675B-56B4-4C06-9341-18F18A80DB3F}" presName="hierChild6" presStyleCnt="0"/>
      <dgm:spPr/>
    </dgm:pt>
    <dgm:pt modelId="{5954F394-BF76-42C0-8D6B-A3D6C52A50BC}" type="pres">
      <dgm:prSet presAssocID="{AACE675B-56B4-4C06-9341-18F18A80DB3F}" presName="hierChild7" presStyleCnt="0"/>
      <dgm:spPr/>
    </dgm:pt>
    <dgm:pt modelId="{340ACF62-D92C-4D7D-9C1C-36168D60C675}" type="pres">
      <dgm:prSet presAssocID="{D3A46E04-9A63-4927-8CBA-657CBB1850E8}" presName="Name37" presStyleLbl="parChTrans1D2" presStyleIdx="1" presStyleCnt="2"/>
      <dgm:spPr>
        <a:custGeom>
          <a:avLst/>
          <a:gdLst/>
          <a:ahLst/>
          <a:cxnLst/>
          <a:rect l="0" t="0" r="0" b="0"/>
          <a:pathLst>
            <a:path>
              <a:moveTo>
                <a:pt x="0" y="0"/>
              </a:moveTo>
              <a:lnTo>
                <a:pt x="0" y="124292"/>
              </a:lnTo>
              <a:lnTo>
                <a:pt x="2241947" y="124292"/>
              </a:lnTo>
              <a:lnTo>
                <a:pt x="2241947" y="248585"/>
              </a:lnTo>
            </a:path>
          </a:pathLst>
        </a:custGeom>
      </dgm:spPr>
      <dgm:t>
        <a:bodyPr/>
        <a:lstStyle/>
        <a:p>
          <a:endParaRPr lang="el-GR"/>
        </a:p>
      </dgm:t>
    </dgm:pt>
    <dgm:pt modelId="{A6EC5F67-7236-4C3C-8BAA-126316D3DDB8}" type="pres">
      <dgm:prSet presAssocID="{65BADE31-02D4-4A0A-868B-2B7B7601CE03}" presName="hierRoot2" presStyleCnt="0">
        <dgm:presLayoutVars>
          <dgm:hierBranch val="init"/>
        </dgm:presLayoutVars>
      </dgm:prSet>
      <dgm:spPr/>
    </dgm:pt>
    <dgm:pt modelId="{FB73DFFC-F940-44FB-802C-54CC24CF5AFB}" type="pres">
      <dgm:prSet presAssocID="{65BADE31-02D4-4A0A-868B-2B7B7601CE03}" presName="rootComposite" presStyleCnt="0"/>
      <dgm:spPr/>
    </dgm:pt>
    <dgm:pt modelId="{35D6DA14-CFAB-4060-BB14-612A5F789B6D}" type="pres">
      <dgm:prSet presAssocID="{65BADE31-02D4-4A0A-868B-2B7B7601CE03}" presName="rootText" presStyleLbl="node2" presStyleIdx="1" presStyleCnt="2">
        <dgm:presLayoutVars>
          <dgm:chPref val="3"/>
        </dgm:presLayoutVars>
      </dgm:prSet>
      <dgm:spPr>
        <a:prstGeom prst="rect">
          <a:avLst/>
        </a:prstGeom>
      </dgm:spPr>
      <dgm:t>
        <a:bodyPr/>
        <a:lstStyle/>
        <a:p>
          <a:endParaRPr lang="el-GR"/>
        </a:p>
      </dgm:t>
    </dgm:pt>
    <dgm:pt modelId="{11242123-4884-442B-8AD1-766E417C16AD}" type="pres">
      <dgm:prSet presAssocID="{65BADE31-02D4-4A0A-868B-2B7B7601CE03}" presName="rootConnector" presStyleLbl="node2" presStyleIdx="1" presStyleCnt="2"/>
      <dgm:spPr/>
      <dgm:t>
        <a:bodyPr/>
        <a:lstStyle/>
        <a:p>
          <a:endParaRPr lang="el-GR"/>
        </a:p>
      </dgm:t>
    </dgm:pt>
    <dgm:pt modelId="{030A9D59-D21A-40F6-A4F1-3BD2AD7901C5}" type="pres">
      <dgm:prSet presAssocID="{65BADE31-02D4-4A0A-868B-2B7B7601CE03}" presName="hierChild4" presStyleCnt="0"/>
      <dgm:spPr/>
    </dgm:pt>
    <dgm:pt modelId="{465E3527-203A-4F67-881B-73555FA96CBA}" type="pres">
      <dgm:prSet presAssocID="{65BADE31-02D4-4A0A-868B-2B7B7601CE03}" presName="hierChild5" presStyleCnt="0"/>
      <dgm:spPr/>
    </dgm:pt>
    <dgm:pt modelId="{118C0534-3178-4270-9577-B6DA89172736}" type="pres">
      <dgm:prSet presAssocID="{53D141E9-F08B-4997-BAED-055D41DAC22D}" presName="Name111" presStyleLbl="parChTrans1D3" presStyleIdx="2" presStyleCnt="4"/>
      <dgm:spPr>
        <a:custGeom>
          <a:avLst/>
          <a:gdLst/>
          <a:ahLst/>
          <a:cxnLst/>
          <a:rect l="0" t="0" r="0" b="0"/>
          <a:pathLst>
            <a:path>
              <a:moveTo>
                <a:pt x="124292" y="0"/>
              </a:moveTo>
              <a:lnTo>
                <a:pt x="124292" y="544521"/>
              </a:lnTo>
              <a:lnTo>
                <a:pt x="0" y="544521"/>
              </a:lnTo>
            </a:path>
          </a:pathLst>
        </a:custGeom>
      </dgm:spPr>
      <dgm:t>
        <a:bodyPr/>
        <a:lstStyle/>
        <a:p>
          <a:endParaRPr lang="el-GR"/>
        </a:p>
      </dgm:t>
    </dgm:pt>
    <dgm:pt modelId="{BEC01361-74BA-4A24-9CA5-242B7B76DB14}" type="pres">
      <dgm:prSet presAssocID="{AE0CC521-C8F8-4D95-A2C4-B003C9A16CDA}" presName="hierRoot3" presStyleCnt="0">
        <dgm:presLayoutVars>
          <dgm:hierBranch val="init"/>
        </dgm:presLayoutVars>
      </dgm:prSet>
      <dgm:spPr/>
    </dgm:pt>
    <dgm:pt modelId="{D408A614-13E5-4346-B7A6-BD0093857E72}" type="pres">
      <dgm:prSet presAssocID="{AE0CC521-C8F8-4D95-A2C4-B003C9A16CDA}" presName="rootComposite3" presStyleCnt="0"/>
      <dgm:spPr/>
    </dgm:pt>
    <dgm:pt modelId="{7185FAA9-AF8F-4DA8-B2C9-CDF83810338C}" type="pres">
      <dgm:prSet presAssocID="{AE0CC521-C8F8-4D95-A2C4-B003C9A16CDA}" presName="rootText3" presStyleLbl="asst2" presStyleIdx="2" presStyleCnt="4">
        <dgm:presLayoutVars>
          <dgm:chPref val="3"/>
        </dgm:presLayoutVars>
      </dgm:prSet>
      <dgm:spPr>
        <a:prstGeom prst="rect">
          <a:avLst/>
        </a:prstGeom>
      </dgm:spPr>
      <dgm:t>
        <a:bodyPr/>
        <a:lstStyle/>
        <a:p>
          <a:endParaRPr lang="el-GR"/>
        </a:p>
      </dgm:t>
    </dgm:pt>
    <dgm:pt modelId="{49F9A4C6-70AD-471D-A362-6040C39D9992}" type="pres">
      <dgm:prSet presAssocID="{AE0CC521-C8F8-4D95-A2C4-B003C9A16CDA}" presName="rootConnector3" presStyleLbl="asst2" presStyleIdx="2" presStyleCnt="4"/>
      <dgm:spPr/>
      <dgm:t>
        <a:bodyPr/>
        <a:lstStyle/>
        <a:p>
          <a:endParaRPr lang="el-GR"/>
        </a:p>
      </dgm:t>
    </dgm:pt>
    <dgm:pt modelId="{A8C36E18-2A44-4BD8-9B28-708D9B5B4620}" type="pres">
      <dgm:prSet presAssocID="{AE0CC521-C8F8-4D95-A2C4-B003C9A16CDA}" presName="hierChild6" presStyleCnt="0"/>
      <dgm:spPr/>
    </dgm:pt>
    <dgm:pt modelId="{0FF99999-D27E-4530-A1B4-06BBE4068257}" type="pres">
      <dgm:prSet presAssocID="{AE0CC521-C8F8-4D95-A2C4-B003C9A16CDA}" presName="hierChild7" presStyleCnt="0"/>
      <dgm:spPr/>
    </dgm:pt>
    <dgm:pt modelId="{C0C11821-57E8-4067-A51F-11C84C501A69}" type="pres">
      <dgm:prSet presAssocID="{1AF3A03C-6B74-45A4-8540-875246A7F4C0}" presName="Name111" presStyleLbl="parChTrans1D3" presStyleIdx="3" presStyleCnt="4"/>
      <dgm:spPr>
        <a:custGeom>
          <a:avLst/>
          <a:gdLst/>
          <a:ahLst/>
          <a:cxnLst/>
          <a:rect l="0" t="0" r="0" b="0"/>
          <a:pathLst>
            <a:path>
              <a:moveTo>
                <a:pt x="0" y="0"/>
              </a:moveTo>
              <a:lnTo>
                <a:pt x="0" y="544521"/>
              </a:lnTo>
              <a:lnTo>
                <a:pt x="124292" y="544521"/>
              </a:lnTo>
            </a:path>
          </a:pathLst>
        </a:custGeom>
      </dgm:spPr>
      <dgm:t>
        <a:bodyPr/>
        <a:lstStyle/>
        <a:p>
          <a:endParaRPr lang="el-GR"/>
        </a:p>
      </dgm:t>
    </dgm:pt>
    <dgm:pt modelId="{93F6F726-765F-421E-855A-3BFE93816769}" type="pres">
      <dgm:prSet presAssocID="{555179A0-00B4-443A-9A3A-E16A9E3486D6}" presName="hierRoot3" presStyleCnt="0">
        <dgm:presLayoutVars>
          <dgm:hierBranch val="init"/>
        </dgm:presLayoutVars>
      </dgm:prSet>
      <dgm:spPr/>
    </dgm:pt>
    <dgm:pt modelId="{3226B27F-C569-4C0C-A2E6-9D6AF5BE423C}" type="pres">
      <dgm:prSet presAssocID="{555179A0-00B4-443A-9A3A-E16A9E3486D6}" presName="rootComposite3" presStyleCnt="0"/>
      <dgm:spPr/>
    </dgm:pt>
    <dgm:pt modelId="{D6441F6C-61A9-42DD-966B-03CCDCC1B4AF}" type="pres">
      <dgm:prSet presAssocID="{555179A0-00B4-443A-9A3A-E16A9E3486D6}" presName="rootText3" presStyleLbl="asst2" presStyleIdx="3" presStyleCnt="4">
        <dgm:presLayoutVars>
          <dgm:chPref val="3"/>
        </dgm:presLayoutVars>
      </dgm:prSet>
      <dgm:spPr>
        <a:prstGeom prst="rect">
          <a:avLst/>
        </a:prstGeom>
      </dgm:spPr>
      <dgm:t>
        <a:bodyPr/>
        <a:lstStyle/>
        <a:p>
          <a:endParaRPr lang="el-GR"/>
        </a:p>
      </dgm:t>
    </dgm:pt>
    <dgm:pt modelId="{3814C971-AFB4-4E85-8F00-A840317136B7}" type="pres">
      <dgm:prSet presAssocID="{555179A0-00B4-443A-9A3A-E16A9E3486D6}" presName="rootConnector3" presStyleLbl="asst2" presStyleIdx="3" presStyleCnt="4"/>
      <dgm:spPr/>
      <dgm:t>
        <a:bodyPr/>
        <a:lstStyle/>
        <a:p>
          <a:endParaRPr lang="el-GR"/>
        </a:p>
      </dgm:t>
    </dgm:pt>
    <dgm:pt modelId="{2E81B652-EE62-454A-8975-FF0140C65880}" type="pres">
      <dgm:prSet presAssocID="{555179A0-00B4-443A-9A3A-E16A9E3486D6}" presName="hierChild6" presStyleCnt="0"/>
      <dgm:spPr/>
    </dgm:pt>
    <dgm:pt modelId="{28581909-1BD4-4DD8-BE04-2C8E953F58EE}" type="pres">
      <dgm:prSet presAssocID="{555179A0-00B4-443A-9A3A-E16A9E3486D6}" presName="hierChild7" presStyleCnt="0"/>
      <dgm:spPr/>
    </dgm:pt>
    <dgm:pt modelId="{BA3AF64F-E9B8-43CC-B521-7A4678176B93}" type="pres">
      <dgm:prSet presAssocID="{7854E3E1-9E32-48B8-9CDE-21E1F2CFD23F}" presName="hierChild3" presStyleCnt="0"/>
      <dgm:spPr/>
    </dgm:pt>
    <dgm:pt modelId="{4FD39EBB-9D3F-4072-8E46-79E4238AC0E3}" type="pres">
      <dgm:prSet presAssocID="{AF05DC58-D7D5-4665-ADE5-A09E94BEEC71}" presName="hierRoot1" presStyleCnt="0">
        <dgm:presLayoutVars>
          <dgm:hierBranch val="init"/>
        </dgm:presLayoutVars>
      </dgm:prSet>
      <dgm:spPr/>
    </dgm:pt>
    <dgm:pt modelId="{2238F5CF-18C2-4052-A50C-E6E017FDC17D}" type="pres">
      <dgm:prSet presAssocID="{AF05DC58-D7D5-4665-ADE5-A09E94BEEC71}" presName="rootComposite1" presStyleCnt="0"/>
      <dgm:spPr/>
    </dgm:pt>
    <dgm:pt modelId="{B56AFDA1-FC73-4FA7-91D7-3286BF7E8B91}" type="pres">
      <dgm:prSet presAssocID="{AF05DC58-D7D5-4665-ADE5-A09E94BEEC71}" presName="rootText1" presStyleLbl="node0" presStyleIdx="1" presStyleCnt="2" custLinFactNeighborX="-58740">
        <dgm:presLayoutVars>
          <dgm:chPref val="3"/>
        </dgm:presLayoutVars>
      </dgm:prSet>
      <dgm:spPr>
        <a:prstGeom prst="rect">
          <a:avLst/>
        </a:prstGeom>
      </dgm:spPr>
      <dgm:t>
        <a:bodyPr/>
        <a:lstStyle/>
        <a:p>
          <a:endParaRPr lang="el-GR"/>
        </a:p>
      </dgm:t>
    </dgm:pt>
    <dgm:pt modelId="{8E4409A4-7C3A-48B8-9EC8-8EFE473BCA84}" type="pres">
      <dgm:prSet presAssocID="{AF05DC58-D7D5-4665-ADE5-A09E94BEEC71}" presName="rootConnector1" presStyleLbl="node1" presStyleIdx="0" presStyleCnt="0"/>
      <dgm:spPr/>
      <dgm:t>
        <a:bodyPr/>
        <a:lstStyle/>
        <a:p>
          <a:endParaRPr lang="el-GR"/>
        </a:p>
      </dgm:t>
    </dgm:pt>
    <dgm:pt modelId="{E7D24EAE-C289-44DD-AE14-F2C90D8CD0B1}" type="pres">
      <dgm:prSet presAssocID="{AF05DC58-D7D5-4665-ADE5-A09E94BEEC71}" presName="hierChild2" presStyleCnt="0"/>
      <dgm:spPr/>
    </dgm:pt>
    <dgm:pt modelId="{A79F8643-8C60-49F7-9FD9-1797E2E6F64F}" type="pres">
      <dgm:prSet presAssocID="{AF05DC58-D7D5-4665-ADE5-A09E94BEEC71}" presName="hierChild3" presStyleCnt="0"/>
      <dgm:spPr/>
    </dgm:pt>
  </dgm:ptLst>
  <dgm:cxnLst>
    <dgm:cxn modelId="{CD8F5005-9226-4120-94E0-060594188247}" type="presOf" srcId="{7854E3E1-9E32-48B8-9CDE-21E1F2CFD23F}" destId="{F3725BE6-817E-4043-B487-5AB20DB7E41E}" srcOrd="0" destOrd="0" presId="urn:microsoft.com/office/officeart/2005/8/layout/orgChart1"/>
    <dgm:cxn modelId="{A15D59E1-2286-43D0-BD83-501BE18ED3BD}" srcId="{870C1B3A-2E23-4D3A-B09B-BBAA930CF3DA}" destId="{C691E350-15E0-4654-B427-4F8AEE059242}" srcOrd="0" destOrd="0" parTransId="{DBBF1F47-2E9E-4D5F-A9D6-597FB502A7A0}" sibTransId="{6E35C12E-A60C-4B8C-81C2-D4365466DCFD}"/>
    <dgm:cxn modelId="{0AE7B576-6995-403A-BAA2-525A68ADD5C8}" type="presOf" srcId="{AF05DC58-D7D5-4665-ADE5-A09E94BEEC71}" destId="{8E4409A4-7C3A-48B8-9EC8-8EFE473BCA84}" srcOrd="1" destOrd="0" presId="urn:microsoft.com/office/officeart/2005/8/layout/orgChart1"/>
    <dgm:cxn modelId="{C476A956-AF20-454F-A231-F4E78324F668}" type="presOf" srcId="{65BADE31-02D4-4A0A-868B-2B7B7601CE03}" destId="{11242123-4884-442B-8AD1-766E417C16AD}" srcOrd="1" destOrd="0" presId="urn:microsoft.com/office/officeart/2005/8/layout/orgChart1"/>
    <dgm:cxn modelId="{E86E9ABE-07A9-476B-A516-7D51ABD1B82B}" type="presOf" srcId="{870C1B3A-2E23-4D3A-B09B-BBAA930CF3DA}" destId="{76AF2BF7-D26F-45FA-8FED-AF60D61BC274}" srcOrd="1" destOrd="0" presId="urn:microsoft.com/office/officeart/2005/8/layout/orgChart1"/>
    <dgm:cxn modelId="{DB974343-0DAC-4F38-A1C7-AABE71A4F573}" type="presOf" srcId="{AACE675B-56B4-4C06-9341-18F18A80DB3F}" destId="{8207E9BE-D0CD-4B98-A62A-5AEAFE2ABDF2}" srcOrd="1" destOrd="0" presId="urn:microsoft.com/office/officeart/2005/8/layout/orgChart1"/>
    <dgm:cxn modelId="{896188AC-C8F3-4BE9-8946-0506715C3D12}" type="presOf" srcId="{AF05DC58-D7D5-4665-ADE5-A09E94BEEC71}" destId="{B56AFDA1-FC73-4FA7-91D7-3286BF7E8B91}" srcOrd="0" destOrd="0" presId="urn:microsoft.com/office/officeart/2005/8/layout/orgChart1"/>
    <dgm:cxn modelId="{F3F0A70C-06F7-4DED-B782-7D6E101AEED5}" type="presOf" srcId="{AE0CC521-C8F8-4D95-A2C4-B003C9A16CDA}" destId="{49F9A4C6-70AD-471D-A362-6040C39D9992}" srcOrd="1" destOrd="0" presId="urn:microsoft.com/office/officeart/2005/8/layout/orgChart1"/>
    <dgm:cxn modelId="{EB817FF1-52E3-4AE7-9C66-2A76B295BF84}" type="presOf" srcId="{C691E350-15E0-4654-B427-4F8AEE059242}" destId="{0933B56A-C80D-4626-8936-21051F053BD5}" srcOrd="1" destOrd="0" presId="urn:microsoft.com/office/officeart/2005/8/layout/orgChart1"/>
    <dgm:cxn modelId="{1C9F65CF-EB5C-45C0-94B1-14B13143EE0E}" type="presOf" srcId="{DBBF1F47-2E9E-4D5F-A9D6-597FB502A7A0}" destId="{D4E4A5CA-27BE-41A8-A3AC-5A18C9A4A171}" srcOrd="0" destOrd="0" presId="urn:microsoft.com/office/officeart/2005/8/layout/orgChart1"/>
    <dgm:cxn modelId="{FD68865C-7BF3-4A26-A47C-A9160388A878}" srcId="{51521F3C-1DE4-4B2F-9E84-0803C59C57FB}" destId="{7854E3E1-9E32-48B8-9CDE-21E1F2CFD23F}" srcOrd="0" destOrd="0" parTransId="{8142BD00-5484-4A82-A120-852E94A93C56}" sibTransId="{DD3480C5-114B-4988-B061-07849D2129CC}"/>
    <dgm:cxn modelId="{BCEF0CE8-4BF4-428F-AAB8-64E4E10EC6EA}" type="presOf" srcId="{870C1B3A-2E23-4D3A-B09B-BBAA930CF3DA}" destId="{5401B0BC-AF32-4A23-A9A5-9E9FB6736596}" srcOrd="0" destOrd="0" presId="urn:microsoft.com/office/officeart/2005/8/layout/orgChart1"/>
    <dgm:cxn modelId="{D12EC363-F84B-45B0-ADEC-3F4B81C9BC31}" type="presOf" srcId="{1AF3A03C-6B74-45A4-8540-875246A7F4C0}" destId="{C0C11821-57E8-4067-A51F-11C84C501A69}" srcOrd="0" destOrd="0" presId="urn:microsoft.com/office/officeart/2005/8/layout/orgChart1"/>
    <dgm:cxn modelId="{987F71B9-4BC4-468D-8D0E-33E6BA440E06}" type="presOf" srcId="{D3A46E04-9A63-4927-8CBA-657CBB1850E8}" destId="{340ACF62-D92C-4D7D-9C1C-36168D60C675}" srcOrd="0" destOrd="0" presId="urn:microsoft.com/office/officeart/2005/8/layout/orgChart1"/>
    <dgm:cxn modelId="{FA0C6559-A7C6-413F-A10B-88B80A02D926}" srcId="{870C1B3A-2E23-4D3A-B09B-BBAA930CF3DA}" destId="{AACE675B-56B4-4C06-9341-18F18A80DB3F}" srcOrd="1" destOrd="0" parTransId="{0391B130-A56F-42BD-B929-5D3390E51DB3}" sibTransId="{E0A200E7-F4BF-49F8-AC72-63737DD17738}"/>
    <dgm:cxn modelId="{3C6D9763-B267-4F4E-A355-47C1BDABCC35}" srcId="{51521F3C-1DE4-4B2F-9E84-0803C59C57FB}" destId="{AF05DC58-D7D5-4665-ADE5-A09E94BEEC71}" srcOrd="1" destOrd="0" parTransId="{6B11D461-1F76-4177-814C-EA90A3699AA3}" sibTransId="{614B786E-1AE4-445D-B660-D192B4638FE7}"/>
    <dgm:cxn modelId="{14BBD864-7D79-4C85-91B9-3BE5E29C4309}" type="presOf" srcId="{C691E350-15E0-4654-B427-4F8AEE059242}" destId="{C40A7A68-24EF-41DC-864C-97B1FA3EB91B}" srcOrd="0" destOrd="0" presId="urn:microsoft.com/office/officeart/2005/8/layout/orgChart1"/>
    <dgm:cxn modelId="{8FA124A6-0873-45CE-B2F5-A0F599DF072F}" type="presOf" srcId="{7854E3E1-9E32-48B8-9CDE-21E1F2CFD23F}" destId="{F09D1EA2-AE69-4E01-9777-41504DAB9B35}" srcOrd="1" destOrd="0" presId="urn:microsoft.com/office/officeart/2005/8/layout/orgChart1"/>
    <dgm:cxn modelId="{F0732501-B537-4586-9B16-010BCD0D61CE}" type="presOf" srcId="{65BADE31-02D4-4A0A-868B-2B7B7601CE03}" destId="{35D6DA14-CFAB-4060-BB14-612A5F789B6D}" srcOrd="0" destOrd="0" presId="urn:microsoft.com/office/officeart/2005/8/layout/orgChart1"/>
    <dgm:cxn modelId="{2F1BDC2A-7A3D-4751-BD40-B16346D278EA}" srcId="{7854E3E1-9E32-48B8-9CDE-21E1F2CFD23F}" destId="{65BADE31-02D4-4A0A-868B-2B7B7601CE03}" srcOrd="1" destOrd="0" parTransId="{D3A46E04-9A63-4927-8CBA-657CBB1850E8}" sibTransId="{C23AE4BD-156D-4A8A-8CBE-693506A1A5D4}"/>
    <dgm:cxn modelId="{125869DD-E4A9-4732-9E96-2B9BD581F789}" srcId="{65BADE31-02D4-4A0A-868B-2B7B7601CE03}" destId="{555179A0-00B4-443A-9A3A-E16A9E3486D6}" srcOrd="1" destOrd="0" parTransId="{1AF3A03C-6B74-45A4-8540-875246A7F4C0}" sibTransId="{1A387319-BFE3-4BF1-8CEF-FB46C5354930}"/>
    <dgm:cxn modelId="{F02F5A64-411E-4EB2-AA79-F0DD63A81D7D}" type="presOf" srcId="{53D141E9-F08B-4997-BAED-055D41DAC22D}" destId="{118C0534-3178-4270-9577-B6DA89172736}" srcOrd="0" destOrd="0" presId="urn:microsoft.com/office/officeart/2005/8/layout/orgChart1"/>
    <dgm:cxn modelId="{E2F0C6F3-DB6E-431A-8C98-DB637F83B1B3}" type="presOf" srcId="{4F7E028A-0EA5-466D-BDD8-003B496D8475}" destId="{E33866E5-10A6-4DF3-A347-BDA86BB5F88A}" srcOrd="0" destOrd="0" presId="urn:microsoft.com/office/officeart/2005/8/layout/orgChart1"/>
    <dgm:cxn modelId="{34D27464-100B-409A-A09D-F671884F3E37}" type="presOf" srcId="{51521F3C-1DE4-4B2F-9E84-0803C59C57FB}" destId="{3D050C2D-F4AB-4DED-A7BB-6DCC40238060}" srcOrd="0" destOrd="0" presId="urn:microsoft.com/office/officeart/2005/8/layout/orgChart1"/>
    <dgm:cxn modelId="{CBFCB240-C2ED-45F0-BDA1-B453C35333BF}" type="presOf" srcId="{555179A0-00B4-443A-9A3A-E16A9E3486D6}" destId="{D6441F6C-61A9-42DD-966B-03CCDCC1B4AF}" srcOrd="0" destOrd="0" presId="urn:microsoft.com/office/officeart/2005/8/layout/orgChart1"/>
    <dgm:cxn modelId="{EFA0C2A4-4A6A-4932-AD2B-FCA05FF0AB63}" type="presOf" srcId="{555179A0-00B4-443A-9A3A-E16A9E3486D6}" destId="{3814C971-AFB4-4E85-8F00-A840317136B7}" srcOrd="1" destOrd="0" presId="urn:microsoft.com/office/officeart/2005/8/layout/orgChart1"/>
    <dgm:cxn modelId="{8AE51739-9102-454B-8B24-6465CA99F428}" srcId="{65BADE31-02D4-4A0A-868B-2B7B7601CE03}" destId="{AE0CC521-C8F8-4D95-A2C4-B003C9A16CDA}" srcOrd="0" destOrd="0" parTransId="{53D141E9-F08B-4997-BAED-055D41DAC22D}" sibTransId="{1970DE40-F620-4C52-A218-1D6DB341D5EA}"/>
    <dgm:cxn modelId="{EAA93755-EC29-4882-B939-55B9DEF96A83}" srcId="{7854E3E1-9E32-48B8-9CDE-21E1F2CFD23F}" destId="{870C1B3A-2E23-4D3A-B09B-BBAA930CF3DA}" srcOrd="0" destOrd="0" parTransId="{4F7E028A-0EA5-466D-BDD8-003B496D8475}" sibTransId="{A64B674F-1A5A-493C-ADC5-10ACDDF3F01D}"/>
    <dgm:cxn modelId="{4DCF4B9A-7951-4954-8687-88BB86D1E71D}" type="presOf" srcId="{0391B130-A56F-42BD-B929-5D3390E51DB3}" destId="{DE289D9D-8807-449A-911C-C893505FC711}" srcOrd="0" destOrd="0" presId="urn:microsoft.com/office/officeart/2005/8/layout/orgChart1"/>
    <dgm:cxn modelId="{5C9EAEE4-71CF-45C9-8E8C-597C4C520812}" type="presOf" srcId="{AE0CC521-C8F8-4D95-A2C4-B003C9A16CDA}" destId="{7185FAA9-AF8F-4DA8-B2C9-CDF83810338C}" srcOrd="0" destOrd="0" presId="urn:microsoft.com/office/officeart/2005/8/layout/orgChart1"/>
    <dgm:cxn modelId="{6CCD7D1C-68C8-473F-B602-095D17D84BEE}" type="presOf" srcId="{AACE675B-56B4-4C06-9341-18F18A80DB3F}" destId="{3C8494EC-7689-4FAF-B02F-D1FA1C9D1B7B}" srcOrd="0" destOrd="0" presId="urn:microsoft.com/office/officeart/2005/8/layout/orgChart1"/>
    <dgm:cxn modelId="{83E75C7A-8C5C-4E29-B61F-D2888FA23FE4}" type="presParOf" srcId="{3D050C2D-F4AB-4DED-A7BB-6DCC40238060}" destId="{7C625114-1561-4144-B985-9F28FFB72FAF}" srcOrd="0" destOrd="0" presId="urn:microsoft.com/office/officeart/2005/8/layout/orgChart1"/>
    <dgm:cxn modelId="{9859FD12-2FFD-4356-B1B6-2808923CDB1A}" type="presParOf" srcId="{7C625114-1561-4144-B985-9F28FFB72FAF}" destId="{B8CA5DEE-3124-4FF4-AC4F-8B91C28F3509}" srcOrd="0" destOrd="0" presId="urn:microsoft.com/office/officeart/2005/8/layout/orgChart1"/>
    <dgm:cxn modelId="{EDB76C1D-FD3F-426B-ABEC-EE97C1F14D68}" type="presParOf" srcId="{B8CA5DEE-3124-4FF4-AC4F-8B91C28F3509}" destId="{F3725BE6-817E-4043-B487-5AB20DB7E41E}" srcOrd="0" destOrd="0" presId="urn:microsoft.com/office/officeart/2005/8/layout/orgChart1"/>
    <dgm:cxn modelId="{512AFE90-30E0-4DD3-9C9B-562E6929789C}" type="presParOf" srcId="{B8CA5DEE-3124-4FF4-AC4F-8B91C28F3509}" destId="{F09D1EA2-AE69-4E01-9777-41504DAB9B35}" srcOrd="1" destOrd="0" presId="urn:microsoft.com/office/officeart/2005/8/layout/orgChart1"/>
    <dgm:cxn modelId="{D0F8E725-4A6F-4017-B5BE-F2BB2BB4E411}" type="presParOf" srcId="{7C625114-1561-4144-B985-9F28FFB72FAF}" destId="{E47AB678-D80B-46E6-8BB5-C8F7AE883357}" srcOrd="1" destOrd="0" presId="urn:microsoft.com/office/officeart/2005/8/layout/orgChart1"/>
    <dgm:cxn modelId="{EC7908D6-4F82-406E-BCAF-8222E867245E}" type="presParOf" srcId="{E47AB678-D80B-46E6-8BB5-C8F7AE883357}" destId="{E33866E5-10A6-4DF3-A347-BDA86BB5F88A}" srcOrd="0" destOrd="0" presId="urn:microsoft.com/office/officeart/2005/8/layout/orgChart1"/>
    <dgm:cxn modelId="{3DDC7129-AD2E-43B4-86AA-01F3E86B7652}" type="presParOf" srcId="{E47AB678-D80B-46E6-8BB5-C8F7AE883357}" destId="{1F1F34DF-1255-430F-93D6-908487D676E7}" srcOrd="1" destOrd="0" presId="urn:microsoft.com/office/officeart/2005/8/layout/orgChart1"/>
    <dgm:cxn modelId="{8BC43BC4-1036-43C8-8219-45AC2141B704}" type="presParOf" srcId="{1F1F34DF-1255-430F-93D6-908487D676E7}" destId="{972D23F7-3893-4E51-A1B0-8F8EBB62332A}" srcOrd="0" destOrd="0" presId="urn:microsoft.com/office/officeart/2005/8/layout/orgChart1"/>
    <dgm:cxn modelId="{13629B8B-291A-46E0-9DC5-7AC30B4AF4FE}" type="presParOf" srcId="{972D23F7-3893-4E51-A1B0-8F8EBB62332A}" destId="{5401B0BC-AF32-4A23-A9A5-9E9FB6736596}" srcOrd="0" destOrd="0" presId="urn:microsoft.com/office/officeart/2005/8/layout/orgChart1"/>
    <dgm:cxn modelId="{1BC86AF4-679F-4476-9720-85DB375DEBF9}" type="presParOf" srcId="{972D23F7-3893-4E51-A1B0-8F8EBB62332A}" destId="{76AF2BF7-D26F-45FA-8FED-AF60D61BC274}" srcOrd="1" destOrd="0" presId="urn:microsoft.com/office/officeart/2005/8/layout/orgChart1"/>
    <dgm:cxn modelId="{2A9E5D1F-DF1E-4E6A-A82C-DF57D828C0D4}" type="presParOf" srcId="{1F1F34DF-1255-430F-93D6-908487D676E7}" destId="{CC53EA83-3DED-4469-9170-A41BA2503D7F}" srcOrd="1" destOrd="0" presId="urn:microsoft.com/office/officeart/2005/8/layout/orgChart1"/>
    <dgm:cxn modelId="{C88AED4A-A528-4B83-97C1-931A5FBD77FB}" type="presParOf" srcId="{1F1F34DF-1255-430F-93D6-908487D676E7}" destId="{5CDAF2D5-5FD4-4FB1-A666-00A69A6307FD}" srcOrd="2" destOrd="0" presId="urn:microsoft.com/office/officeart/2005/8/layout/orgChart1"/>
    <dgm:cxn modelId="{493C71FE-1C0B-46A4-8FF7-A99C7BA80928}" type="presParOf" srcId="{5CDAF2D5-5FD4-4FB1-A666-00A69A6307FD}" destId="{D4E4A5CA-27BE-41A8-A3AC-5A18C9A4A171}" srcOrd="0" destOrd="0" presId="urn:microsoft.com/office/officeart/2005/8/layout/orgChart1"/>
    <dgm:cxn modelId="{D43D46ED-2175-4EF7-9C6F-D620472F7FA9}" type="presParOf" srcId="{5CDAF2D5-5FD4-4FB1-A666-00A69A6307FD}" destId="{3A53C838-F030-4B00-9B62-56B4FB335ED5}" srcOrd="1" destOrd="0" presId="urn:microsoft.com/office/officeart/2005/8/layout/orgChart1"/>
    <dgm:cxn modelId="{B6E8F705-8871-42AA-B565-0553649E2BE9}" type="presParOf" srcId="{3A53C838-F030-4B00-9B62-56B4FB335ED5}" destId="{F0331FDC-114B-4D99-873C-9DE41ADFA757}" srcOrd="0" destOrd="0" presId="urn:microsoft.com/office/officeart/2005/8/layout/orgChart1"/>
    <dgm:cxn modelId="{20BA5D6F-6DDF-405F-BCB2-3E38003981B8}" type="presParOf" srcId="{F0331FDC-114B-4D99-873C-9DE41ADFA757}" destId="{C40A7A68-24EF-41DC-864C-97B1FA3EB91B}" srcOrd="0" destOrd="0" presId="urn:microsoft.com/office/officeart/2005/8/layout/orgChart1"/>
    <dgm:cxn modelId="{5AAD8874-E24E-4C4C-99E6-C849BA39EC5C}" type="presParOf" srcId="{F0331FDC-114B-4D99-873C-9DE41ADFA757}" destId="{0933B56A-C80D-4626-8936-21051F053BD5}" srcOrd="1" destOrd="0" presId="urn:microsoft.com/office/officeart/2005/8/layout/orgChart1"/>
    <dgm:cxn modelId="{0C4DA6DE-A704-4A09-9D5C-95AE0CE3E960}" type="presParOf" srcId="{3A53C838-F030-4B00-9B62-56B4FB335ED5}" destId="{B0EE426F-64F1-4E98-AEDB-C24F66121DCE}" srcOrd="1" destOrd="0" presId="urn:microsoft.com/office/officeart/2005/8/layout/orgChart1"/>
    <dgm:cxn modelId="{C7D66BF3-5C60-4A8C-B90F-70276B31F12F}" type="presParOf" srcId="{3A53C838-F030-4B00-9B62-56B4FB335ED5}" destId="{87CD33E9-F39C-4F1B-8613-A3F1796200B1}" srcOrd="2" destOrd="0" presId="urn:microsoft.com/office/officeart/2005/8/layout/orgChart1"/>
    <dgm:cxn modelId="{37357576-1C03-4C02-ADB9-4F17E1FA2442}" type="presParOf" srcId="{5CDAF2D5-5FD4-4FB1-A666-00A69A6307FD}" destId="{DE289D9D-8807-449A-911C-C893505FC711}" srcOrd="2" destOrd="0" presId="urn:microsoft.com/office/officeart/2005/8/layout/orgChart1"/>
    <dgm:cxn modelId="{E86E604B-0E0D-48C6-9B4B-179791BF4316}" type="presParOf" srcId="{5CDAF2D5-5FD4-4FB1-A666-00A69A6307FD}" destId="{B5E418C5-1685-4C77-A67E-3FC5AB1B964D}" srcOrd="3" destOrd="0" presId="urn:microsoft.com/office/officeart/2005/8/layout/orgChart1"/>
    <dgm:cxn modelId="{6B5A7986-602D-4A78-8841-29A4CE12B653}" type="presParOf" srcId="{B5E418C5-1685-4C77-A67E-3FC5AB1B964D}" destId="{69ADB2CB-3748-427A-9249-3175A314A839}" srcOrd="0" destOrd="0" presId="urn:microsoft.com/office/officeart/2005/8/layout/orgChart1"/>
    <dgm:cxn modelId="{D727DB95-668D-4D48-A3C4-9EDB99A875D6}" type="presParOf" srcId="{69ADB2CB-3748-427A-9249-3175A314A839}" destId="{3C8494EC-7689-4FAF-B02F-D1FA1C9D1B7B}" srcOrd="0" destOrd="0" presId="urn:microsoft.com/office/officeart/2005/8/layout/orgChart1"/>
    <dgm:cxn modelId="{269ED36A-ED9E-492F-8F3D-7E20CDA9B8A5}" type="presParOf" srcId="{69ADB2CB-3748-427A-9249-3175A314A839}" destId="{8207E9BE-D0CD-4B98-A62A-5AEAFE2ABDF2}" srcOrd="1" destOrd="0" presId="urn:microsoft.com/office/officeart/2005/8/layout/orgChart1"/>
    <dgm:cxn modelId="{1193C40F-5C64-44E2-A995-D549D03F69A2}" type="presParOf" srcId="{B5E418C5-1685-4C77-A67E-3FC5AB1B964D}" destId="{1316768A-DEAE-45BA-8FBA-3AE2F8F07DEA}" srcOrd="1" destOrd="0" presId="urn:microsoft.com/office/officeart/2005/8/layout/orgChart1"/>
    <dgm:cxn modelId="{26A9F9D3-ED0E-433E-944C-E8A97F5CE6D1}" type="presParOf" srcId="{B5E418C5-1685-4C77-A67E-3FC5AB1B964D}" destId="{5954F394-BF76-42C0-8D6B-A3D6C52A50BC}" srcOrd="2" destOrd="0" presId="urn:microsoft.com/office/officeart/2005/8/layout/orgChart1"/>
    <dgm:cxn modelId="{50E11A7D-D947-476C-8758-11F5F24276A8}" type="presParOf" srcId="{E47AB678-D80B-46E6-8BB5-C8F7AE883357}" destId="{340ACF62-D92C-4D7D-9C1C-36168D60C675}" srcOrd="2" destOrd="0" presId="urn:microsoft.com/office/officeart/2005/8/layout/orgChart1"/>
    <dgm:cxn modelId="{F517C41F-38A2-4010-A362-80114672A2BE}" type="presParOf" srcId="{E47AB678-D80B-46E6-8BB5-C8F7AE883357}" destId="{A6EC5F67-7236-4C3C-8BAA-126316D3DDB8}" srcOrd="3" destOrd="0" presId="urn:microsoft.com/office/officeart/2005/8/layout/orgChart1"/>
    <dgm:cxn modelId="{D3E538C8-4307-43D0-BF4B-578BD74DC585}" type="presParOf" srcId="{A6EC5F67-7236-4C3C-8BAA-126316D3DDB8}" destId="{FB73DFFC-F940-44FB-802C-54CC24CF5AFB}" srcOrd="0" destOrd="0" presId="urn:microsoft.com/office/officeart/2005/8/layout/orgChart1"/>
    <dgm:cxn modelId="{60C8D9EC-73DD-4D4B-8EA8-FB37FB0DC356}" type="presParOf" srcId="{FB73DFFC-F940-44FB-802C-54CC24CF5AFB}" destId="{35D6DA14-CFAB-4060-BB14-612A5F789B6D}" srcOrd="0" destOrd="0" presId="urn:microsoft.com/office/officeart/2005/8/layout/orgChart1"/>
    <dgm:cxn modelId="{C02B6C7C-3F62-4D0E-A4C2-27BE7925814D}" type="presParOf" srcId="{FB73DFFC-F940-44FB-802C-54CC24CF5AFB}" destId="{11242123-4884-442B-8AD1-766E417C16AD}" srcOrd="1" destOrd="0" presId="urn:microsoft.com/office/officeart/2005/8/layout/orgChart1"/>
    <dgm:cxn modelId="{EFC20733-234E-4CFD-8EE3-DC452D6309B8}" type="presParOf" srcId="{A6EC5F67-7236-4C3C-8BAA-126316D3DDB8}" destId="{030A9D59-D21A-40F6-A4F1-3BD2AD7901C5}" srcOrd="1" destOrd="0" presId="urn:microsoft.com/office/officeart/2005/8/layout/orgChart1"/>
    <dgm:cxn modelId="{08D088F3-CAC9-4FD3-B8A1-2FA705558918}" type="presParOf" srcId="{A6EC5F67-7236-4C3C-8BAA-126316D3DDB8}" destId="{465E3527-203A-4F67-881B-73555FA96CBA}" srcOrd="2" destOrd="0" presId="urn:microsoft.com/office/officeart/2005/8/layout/orgChart1"/>
    <dgm:cxn modelId="{1ECDC821-15DF-47B5-811B-BF2B46C98826}" type="presParOf" srcId="{465E3527-203A-4F67-881B-73555FA96CBA}" destId="{118C0534-3178-4270-9577-B6DA89172736}" srcOrd="0" destOrd="0" presId="urn:microsoft.com/office/officeart/2005/8/layout/orgChart1"/>
    <dgm:cxn modelId="{4A620706-0F7C-40E0-A695-DC527255DF03}" type="presParOf" srcId="{465E3527-203A-4F67-881B-73555FA96CBA}" destId="{BEC01361-74BA-4A24-9CA5-242B7B76DB14}" srcOrd="1" destOrd="0" presId="urn:microsoft.com/office/officeart/2005/8/layout/orgChart1"/>
    <dgm:cxn modelId="{5ECA8A23-CF90-40F9-8232-4FC5262BD367}" type="presParOf" srcId="{BEC01361-74BA-4A24-9CA5-242B7B76DB14}" destId="{D408A614-13E5-4346-B7A6-BD0093857E72}" srcOrd="0" destOrd="0" presId="urn:microsoft.com/office/officeart/2005/8/layout/orgChart1"/>
    <dgm:cxn modelId="{0B85E203-26FA-4989-B06D-76654EA45432}" type="presParOf" srcId="{D408A614-13E5-4346-B7A6-BD0093857E72}" destId="{7185FAA9-AF8F-4DA8-B2C9-CDF83810338C}" srcOrd="0" destOrd="0" presId="urn:microsoft.com/office/officeart/2005/8/layout/orgChart1"/>
    <dgm:cxn modelId="{EE2F0CFB-65D1-47FC-9E61-EE067D1B0A20}" type="presParOf" srcId="{D408A614-13E5-4346-B7A6-BD0093857E72}" destId="{49F9A4C6-70AD-471D-A362-6040C39D9992}" srcOrd="1" destOrd="0" presId="urn:microsoft.com/office/officeart/2005/8/layout/orgChart1"/>
    <dgm:cxn modelId="{CC76CADA-C0AA-4D8D-965A-64EA379AA43A}" type="presParOf" srcId="{BEC01361-74BA-4A24-9CA5-242B7B76DB14}" destId="{A8C36E18-2A44-4BD8-9B28-708D9B5B4620}" srcOrd="1" destOrd="0" presId="urn:microsoft.com/office/officeart/2005/8/layout/orgChart1"/>
    <dgm:cxn modelId="{C79EC98F-967F-41C5-A76C-6E52171E4F4F}" type="presParOf" srcId="{BEC01361-74BA-4A24-9CA5-242B7B76DB14}" destId="{0FF99999-D27E-4530-A1B4-06BBE4068257}" srcOrd="2" destOrd="0" presId="urn:microsoft.com/office/officeart/2005/8/layout/orgChart1"/>
    <dgm:cxn modelId="{C782B7F5-7673-4C26-9A07-E0E362129336}" type="presParOf" srcId="{465E3527-203A-4F67-881B-73555FA96CBA}" destId="{C0C11821-57E8-4067-A51F-11C84C501A69}" srcOrd="2" destOrd="0" presId="urn:microsoft.com/office/officeart/2005/8/layout/orgChart1"/>
    <dgm:cxn modelId="{ED53EF1A-6D48-46F6-BA2B-377F4860175F}" type="presParOf" srcId="{465E3527-203A-4F67-881B-73555FA96CBA}" destId="{93F6F726-765F-421E-855A-3BFE93816769}" srcOrd="3" destOrd="0" presId="urn:microsoft.com/office/officeart/2005/8/layout/orgChart1"/>
    <dgm:cxn modelId="{228D4D0F-DE47-4E3C-B413-E8764211A244}" type="presParOf" srcId="{93F6F726-765F-421E-855A-3BFE93816769}" destId="{3226B27F-C569-4C0C-A2E6-9D6AF5BE423C}" srcOrd="0" destOrd="0" presId="urn:microsoft.com/office/officeart/2005/8/layout/orgChart1"/>
    <dgm:cxn modelId="{E4FFDDD1-88F9-4D3D-9D27-8AF795C734FF}" type="presParOf" srcId="{3226B27F-C569-4C0C-A2E6-9D6AF5BE423C}" destId="{D6441F6C-61A9-42DD-966B-03CCDCC1B4AF}" srcOrd="0" destOrd="0" presId="urn:microsoft.com/office/officeart/2005/8/layout/orgChart1"/>
    <dgm:cxn modelId="{AAE40CB8-CDB6-44F1-85FC-7F48269548F5}" type="presParOf" srcId="{3226B27F-C569-4C0C-A2E6-9D6AF5BE423C}" destId="{3814C971-AFB4-4E85-8F00-A840317136B7}" srcOrd="1" destOrd="0" presId="urn:microsoft.com/office/officeart/2005/8/layout/orgChart1"/>
    <dgm:cxn modelId="{DE351FB5-B9B8-438B-B736-A5D00016BFBB}" type="presParOf" srcId="{93F6F726-765F-421E-855A-3BFE93816769}" destId="{2E81B652-EE62-454A-8975-FF0140C65880}" srcOrd="1" destOrd="0" presId="urn:microsoft.com/office/officeart/2005/8/layout/orgChart1"/>
    <dgm:cxn modelId="{F6A14FB4-7D59-4677-A8A5-CB5571505F0F}" type="presParOf" srcId="{93F6F726-765F-421E-855A-3BFE93816769}" destId="{28581909-1BD4-4DD8-BE04-2C8E953F58EE}" srcOrd="2" destOrd="0" presId="urn:microsoft.com/office/officeart/2005/8/layout/orgChart1"/>
    <dgm:cxn modelId="{3088439A-6E4D-40C7-8A67-7A2EE727172D}" type="presParOf" srcId="{7C625114-1561-4144-B985-9F28FFB72FAF}" destId="{BA3AF64F-E9B8-43CC-B521-7A4678176B93}" srcOrd="2" destOrd="0" presId="urn:microsoft.com/office/officeart/2005/8/layout/orgChart1"/>
    <dgm:cxn modelId="{E7463A1F-C22D-4D7A-9C19-B41EE090BC5B}" type="presParOf" srcId="{3D050C2D-F4AB-4DED-A7BB-6DCC40238060}" destId="{4FD39EBB-9D3F-4072-8E46-79E4238AC0E3}" srcOrd="1" destOrd="0" presId="urn:microsoft.com/office/officeart/2005/8/layout/orgChart1"/>
    <dgm:cxn modelId="{1E3C8AEF-CAEB-4FB0-B21B-12EA101E9AB7}" type="presParOf" srcId="{4FD39EBB-9D3F-4072-8E46-79E4238AC0E3}" destId="{2238F5CF-18C2-4052-A50C-E6E017FDC17D}" srcOrd="0" destOrd="0" presId="urn:microsoft.com/office/officeart/2005/8/layout/orgChart1"/>
    <dgm:cxn modelId="{F2E79015-9A00-4B4B-BBC6-9A668807ED34}" type="presParOf" srcId="{2238F5CF-18C2-4052-A50C-E6E017FDC17D}" destId="{B56AFDA1-FC73-4FA7-91D7-3286BF7E8B91}" srcOrd="0" destOrd="0" presId="urn:microsoft.com/office/officeart/2005/8/layout/orgChart1"/>
    <dgm:cxn modelId="{762E2230-FC23-48FE-9A74-AF135530D0B5}" type="presParOf" srcId="{2238F5CF-18C2-4052-A50C-E6E017FDC17D}" destId="{8E4409A4-7C3A-48B8-9EC8-8EFE473BCA84}" srcOrd="1" destOrd="0" presId="urn:microsoft.com/office/officeart/2005/8/layout/orgChart1"/>
    <dgm:cxn modelId="{D799ED8F-1A4B-40B6-AD3C-CC51C721EC34}" type="presParOf" srcId="{4FD39EBB-9D3F-4072-8E46-79E4238AC0E3}" destId="{E7D24EAE-C289-44DD-AE14-F2C90D8CD0B1}" srcOrd="1" destOrd="0" presId="urn:microsoft.com/office/officeart/2005/8/layout/orgChart1"/>
    <dgm:cxn modelId="{E641751E-7093-4837-8DA9-3290331FC0E1}" type="presParOf" srcId="{4FD39EBB-9D3F-4072-8E46-79E4238AC0E3}" destId="{A79F8643-8C60-49F7-9FD9-1797E2E6F64F}" srcOrd="2" destOrd="0" presId="urn:microsoft.com/office/officeart/2005/8/layout/orgChart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C11821-57E8-4067-A51F-11C84C501A69}">
      <dsp:nvSpPr>
        <dsp:cNvPr id="0" name=""/>
        <dsp:cNvSpPr/>
      </dsp:nvSpPr>
      <dsp:spPr>
        <a:xfrm>
          <a:off x="4175527" y="1896135"/>
          <a:ext cx="124292" cy="544521"/>
        </a:xfrm>
        <a:custGeom>
          <a:avLst/>
          <a:gdLst/>
          <a:ahLst/>
          <a:cxnLst/>
          <a:rect l="0" t="0" r="0" b="0"/>
          <a:pathLst>
            <a:path>
              <a:moveTo>
                <a:pt x="0" y="0"/>
              </a:moveTo>
              <a:lnTo>
                <a:pt x="0" y="544521"/>
              </a:lnTo>
              <a:lnTo>
                <a:pt x="124292" y="5445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18C0534-3178-4270-9577-B6DA89172736}">
      <dsp:nvSpPr>
        <dsp:cNvPr id="0" name=""/>
        <dsp:cNvSpPr/>
      </dsp:nvSpPr>
      <dsp:spPr>
        <a:xfrm>
          <a:off x="4051234"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40ACF62-D92C-4D7D-9C1C-36168D60C675}">
      <dsp:nvSpPr>
        <dsp:cNvPr id="0" name=""/>
        <dsp:cNvSpPr/>
      </dsp:nvSpPr>
      <dsp:spPr>
        <a:xfrm>
          <a:off x="1933579" y="1055678"/>
          <a:ext cx="2241947" cy="248585"/>
        </a:xfrm>
        <a:custGeom>
          <a:avLst/>
          <a:gdLst/>
          <a:ahLst/>
          <a:cxnLst/>
          <a:rect l="0" t="0" r="0" b="0"/>
          <a:pathLst>
            <a:path>
              <a:moveTo>
                <a:pt x="0" y="0"/>
              </a:moveTo>
              <a:lnTo>
                <a:pt x="0" y="124292"/>
              </a:lnTo>
              <a:lnTo>
                <a:pt x="2241947" y="124292"/>
              </a:lnTo>
              <a:lnTo>
                <a:pt x="2241947" y="24858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289D9D-8807-449A-911C-C893505FC711}">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4E4A5CA-27BE-41A8-A3AC-5A18C9A4A171}">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33866E5-10A6-4DF3-A347-BDA86BB5F88A}">
      <dsp:nvSpPr>
        <dsp:cNvPr id="0" name=""/>
        <dsp:cNvSpPr/>
      </dsp:nvSpPr>
      <dsp:spPr>
        <a:xfrm>
          <a:off x="1310872" y="1055678"/>
          <a:ext cx="622707" cy="248585"/>
        </a:xfrm>
        <a:custGeom>
          <a:avLst/>
          <a:gdLst/>
          <a:ahLst/>
          <a:cxnLst/>
          <a:rect l="0" t="0" r="0" b="0"/>
          <a:pathLst>
            <a:path>
              <a:moveTo>
                <a:pt x="622707" y="0"/>
              </a:moveTo>
              <a:lnTo>
                <a:pt x="622707" y="124292"/>
              </a:lnTo>
              <a:lnTo>
                <a:pt x="0" y="124292"/>
              </a:lnTo>
              <a:lnTo>
                <a:pt x="0" y="24858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3725BE6-817E-4043-B487-5AB20DB7E41E}">
      <dsp:nvSpPr>
        <dsp:cNvPr id="0" name=""/>
        <dsp:cNvSpPr/>
      </dsp:nvSpPr>
      <dsp:spPr>
        <a:xfrm>
          <a:off x="1341709" y="463807"/>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Ειρήνη</a:t>
          </a:r>
        </a:p>
      </dsp:txBody>
      <dsp:txXfrm>
        <a:off x="1341709" y="463807"/>
        <a:ext cx="1183741" cy="591870"/>
      </dsp:txXfrm>
    </dsp:sp>
    <dsp:sp modelId="{5401B0BC-AF32-4A23-A9A5-9E9FB6736596}">
      <dsp:nvSpPr>
        <dsp:cNvPr id="0" name=""/>
        <dsp:cNvSpPr/>
      </dsp:nvSpPr>
      <dsp:spPr>
        <a:xfrm>
          <a:off x="719001" y="1304264"/>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Σοφία</a:t>
          </a:r>
        </a:p>
      </dsp:txBody>
      <dsp:txXfrm>
        <a:off x="719001" y="1304264"/>
        <a:ext cx="1183741" cy="591870"/>
      </dsp:txXfrm>
    </dsp:sp>
    <dsp:sp modelId="{C40A7A68-24EF-41DC-864C-97B1FA3EB91B}">
      <dsp:nvSpPr>
        <dsp:cNvPr id="0" name=""/>
        <dsp:cNvSpPr/>
      </dsp:nvSpPr>
      <dsp:spPr>
        <a:xfrm>
          <a:off x="2837" y="2144721"/>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Ειρήνη</a:t>
          </a:r>
        </a:p>
      </dsp:txBody>
      <dsp:txXfrm>
        <a:off x="2837" y="2144721"/>
        <a:ext cx="1183741" cy="591870"/>
      </dsp:txXfrm>
    </dsp:sp>
    <dsp:sp modelId="{3C8494EC-7689-4FAF-B02F-D1FA1C9D1B7B}">
      <dsp:nvSpPr>
        <dsp:cNvPr id="0" name=""/>
        <dsp:cNvSpPr/>
      </dsp:nvSpPr>
      <dsp:spPr>
        <a:xfrm>
          <a:off x="1435165" y="2144721"/>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Δημήτρης</a:t>
          </a:r>
        </a:p>
      </dsp:txBody>
      <dsp:txXfrm>
        <a:off x="1435165" y="2144721"/>
        <a:ext cx="1183741" cy="591870"/>
      </dsp:txXfrm>
    </dsp:sp>
    <dsp:sp modelId="{35D6DA14-CFAB-4060-BB14-612A5F789B6D}">
      <dsp:nvSpPr>
        <dsp:cNvPr id="0" name=""/>
        <dsp:cNvSpPr/>
      </dsp:nvSpPr>
      <dsp:spPr>
        <a:xfrm>
          <a:off x="3583656" y="1304264"/>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Γιώργος</a:t>
          </a:r>
        </a:p>
      </dsp:txBody>
      <dsp:txXfrm>
        <a:off x="3583656" y="1304264"/>
        <a:ext cx="1183741" cy="591870"/>
      </dsp:txXfrm>
    </dsp:sp>
    <dsp:sp modelId="{7185FAA9-AF8F-4DA8-B2C9-CDF83810338C}">
      <dsp:nvSpPr>
        <dsp:cNvPr id="0" name=""/>
        <dsp:cNvSpPr/>
      </dsp:nvSpPr>
      <dsp:spPr>
        <a:xfrm>
          <a:off x="2867492" y="2144721"/>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Βικτώρια</a:t>
          </a:r>
        </a:p>
      </dsp:txBody>
      <dsp:txXfrm>
        <a:off x="2867492" y="2144721"/>
        <a:ext cx="1183741" cy="591870"/>
      </dsp:txXfrm>
    </dsp:sp>
    <dsp:sp modelId="{D6441F6C-61A9-42DD-966B-03CCDCC1B4AF}">
      <dsp:nvSpPr>
        <dsp:cNvPr id="0" name=""/>
        <dsp:cNvSpPr/>
      </dsp:nvSpPr>
      <dsp:spPr>
        <a:xfrm>
          <a:off x="4299820" y="2144721"/>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Παύλος</a:t>
          </a:r>
        </a:p>
      </dsp:txBody>
      <dsp:txXfrm>
        <a:off x="4299820" y="2144721"/>
        <a:ext cx="1183741" cy="591870"/>
      </dsp:txXfrm>
    </dsp:sp>
    <dsp:sp modelId="{B56AFDA1-FC73-4FA7-91D7-3286BF7E8B91}">
      <dsp:nvSpPr>
        <dsp:cNvPr id="0" name=""/>
        <dsp:cNvSpPr/>
      </dsp:nvSpPr>
      <dsp:spPr>
        <a:xfrm>
          <a:off x="2888326" y="463807"/>
          <a:ext cx="1183741" cy="59187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l-GR" sz="2200" kern="1200">
              <a:solidFill>
                <a:sysClr val="window" lastClr="FFFFFF"/>
              </a:solidFill>
              <a:latin typeface="Calibri" panose="020F0502020204030204"/>
              <a:ea typeface="+mn-ea"/>
              <a:cs typeface="+mn-cs"/>
            </a:rPr>
            <a:t>Βικτώρια</a:t>
          </a:r>
        </a:p>
      </dsp:txBody>
      <dsp:txXfrm>
        <a:off x="2888326" y="463807"/>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9645</Words>
  <Characters>52086</Characters>
  <Application>Microsoft Office Word</Application>
  <DocSecurity>0</DocSecurity>
  <Lines>434</Lines>
  <Paragraphs>123</Paragraphs>
  <ScaleCrop>false</ScaleCrop>
  <Company>Deftones</Company>
  <LinksUpToDate>false</LinksUpToDate>
  <CharactersWithSpaces>61608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ειρηνη μεταξα</dc:creator>
  <cp:lastModifiedBy>User</cp:lastModifiedBy>
  <cp:revision>2</cp:revision>
  <dcterms:created xsi:type="dcterms:W3CDTF">2018-03-27T17:41:00Z</dcterms:created>
  <dcterms:modified xsi:type="dcterms:W3CDTF">2018-03-27T17:41:00Z</dcterms:modified>
</cp:coreProperties>
</file>